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Times New Roman" w:hAnsi="Times New Roman" w:eastAsia="方正小标宋_GBK" w:cs="方正小标宋_GBK"/>
          <w:spacing w:val="0"/>
          <w:w w:val="100"/>
          <w:kern w:val="2"/>
          <w:position w:val="0"/>
          <w:sz w:val="36"/>
          <w:szCs w:val="36"/>
          <w:shd w:val="clear"/>
          <w:lang w:eastAsia="zh-CN" w:bidi="ar-SA"/>
        </w:rPr>
      </w:pPr>
      <w:r>
        <w:rPr>
          <w:rFonts w:hint="eastAsia" w:eastAsia="方正小标宋_GBK" w:cs="方正小标宋_GBK"/>
          <w:spacing w:val="0"/>
          <w:w w:val="100"/>
          <w:kern w:val="2"/>
          <w:position w:val="0"/>
          <w:sz w:val="36"/>
          <w:szCs w:val="36"/>
          <w:shd w:val="clear"/>
          <w:lang w:eastAsia="zh-CN" w:bidi="ar-SA"/>
        </w:rPr>
        <w:t>附件</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_GBK" w:cs="方正小标宋_GBK"/>
          <w:spacing w:val="0"/>
          <w:w w:val="100"/>
          <w:kern w:val="2"/>
          <w:position w:val="0"/>
          <w:sz w:val="36"/>
          <w:szCs w:val="36"/>
          <w:shd w:val="clear"/>
          <w:lang w:eastAsia="zh-CN" w:bidi="ar-SA"/>
        </w:rPr>
      </w:pPr>
      <w:r>
        <w:rPr>
          <w:rFonts w:hint="eastAsia" w:ascii="Times New Roman" w:hAnsi="Times New Roman" w:eastAsia="方正小标宋_GBK" w:cs="方正小标宋_GBK"/>
          <w:spacing w:val="0"/>
          <w:w w:val="100"/>
          <w:kern w:val="2"/>
          <w:position w:val="0"/>
          <w:sz w:val="36"/>
          <w:szCs w:val="36"/>
          <w:shd w:val="clear"/>
          <w:lang w:eastAsia="zh-CN" w:bidi="ar-SA"/>
        </w:rPr>
        <w:t>广东省支付机构支付服务技术管理暂行办法</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_GBK" w:cs="方正小标宋_GBK"/>
          <w:spacing w:val="0"/>
          <w:w w:val="100"/>
          <w:kern w:val="2"/>
          <w:position w:val="0"/>
          <w:sz w:val="36"/>
          <w:szCs w:val="36"/>
          <w:shd w:val="clear"/>
          <w:lang w:eastAsia="zh-CN" w:bidi="ar-SA"/>
        </w:rPr>
      </w:pPr>
    </w:p>
    <w:p>
      <w:pPr>
        <w:widowControl/>
        <w:wordWrap/>
        <w:adjustRightInd/>
        <w:snapToGrid/>
        <w:spacing w:beforeLines="0" w:afterLines="0" w:line="240" w:lineRule="auto"/>
        <w:ind w:left="0" w:leftChars="0" w:right="0" w:firstLine="602" w:firstLineChars="200"/>
        <w:jc w:val="center"/>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b/>
          <w:bCs/>
          <w:sz w:val="30"/>
        </w:rPr>
        <w:t>第一章 总则</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bookmarkStart w:id="0" w:name="_GoBack"/>
      <w:bookmarkEnd w:id="0"/>
      <w:r>
        <w:rPr>
          <w:rFonts w:hint="eastAsia" w:ascii="Times New Roman" w:hAnsi="Times New Roman" w:eastAsia="仿宋_GB2312" w:cs="仿宋_GB2312"/>
          <w:spacing w:val="0"/>
          <w:w w:val="100"/>
          <w:kern w:val="2"/>
          <w:position w:val="0"/>
          <w:sz w:val="32"/>
          <w:szCs w:val="32"/>
          <w:shd w:val="clear"/>
          <w:lang w:eastAsia="zh-CN" w:bidi="ar-SA"/>
        </w:rPr>
        <w:t>第一条 为加强非金融机构支付服务技术管理，根据《非金融机构支付服务管理办法》（中国人民银行〔</w:t>
      </w:r>
      <w:r>
        <w:rPr>
          <w:rFonts w:hint="default" w:ascii="Times New Roman" w:hAnsi="Times New Roman" w:eastAsia="仿宋_GB2312" w:cs="仿宋_GB2312"/>
          <w:spacing w:val="0"/>
          <w:w w:val="100"/>
          <w:kern w:val="2"/>
          <w:position w:val="0"/>
          <w:sz w:val="32"/>
          <w:szCs w:val="32"/>
          <w:shd w:val="clear"/>
          <w:lang w:eastAsia="zh-CN" w:bidi="ar-SA"/>
        </w:rPr>
        <w:t>2010</w:t>
      </w:r>
      <w:r>
        <w:rPr>
          <w:rFonts w:hint="eastAsia" w:ascii="Times New Roman" w:hAnsi="Times New Roman" w:eastAsia="仿宋_GB2312" w:cs="仿宋_GB2312"/>
          <w:spacing w:val="0"/>
          <w:w w:val="100"/>
          <w:kern w:val="2"/>
          <w:position w:val="0"/>
          <w:sz w:val="32"/>
          <w:szCs w:val="32"/>
          <w:shd w:val="clear"/>
          <w:lang w:eastAsia="zh-CN" w:bidi="ar-SA"/>
        </w:rPr>
        <w:t>〕第</w:t>
      </w:r>
      <w:r>
        <w:rPr>
          <w:rFonts w:hint="default" w:ascii="Times New Roman" w:hAnsi="Times New Roman" w:eastAsia="仿宋_GB2312" w:cs="仿宋_GB2312"/>
          <w:spacing w:val="0"/>
          <w:w w:val="100"/>
          <w:kern w:val="2"/>
          <w:position w:val="0"/>
          <w:sz w:val="32"/>
          <w:szCs w:val="32"/>
          <w:shd w:val="clear"/>
          <w:lang w:eastAsia="zh-CN" w:bidi="ar-SA"/>
        </w:rPr>
        <w:t>2</w:t>
      </w:r>
      <w:r>
        <w:rPr>
          <w:rFonts w:hint="eastAsia" w:ascii="Times New Roman" w:hAnsi="Times New Roman" w:eastAsia="仿宋_GB2312" w:cs="仿宋_GB2312"/>
          <w:spacing w:val="0"/>
          <w:w w:val="100"/>
          <w:kern w:val="2"/>
          <w:position w:val="0"/>
          <w:sz w:val="32"/>
          <w:szCs w:val="32"/>
          <w:shd w:val="clear"/>
          <w:lang w:eastAsia="zh-CN" w:bidi="ar-SA"/>
        </w:rPr>
        <w:t>号令）、《非金融机构支付服务管理办法实施细则》（中国人民银行〔</w:t>
      </w:r>
      <w:r>
        <w:rPr>
          <w:rFonts w:hint="default" w:ascii="Times New Roman" w:hAnsi="Times New Roman" w:eastAsia="仿宋_GB2312" w:cs="仿宋_GB2312"/>
          <w:spacing w:val="0"/>
          <w:w w:val="100"/>
          <w:kern w:val="2"/>
          <w:position w:val="0"/>
          <w:sz w:val="32"/>
          <w:szCs w:val="32"/>
          <w:shd w:val="clear"/>
          <w:lang w:eastAsia="zh-CN" w:bidi="ar-SA"/>
        </w:rPr>
        <w:t>2010</w:t>
      </w:r>
      <w:r>
        <w:rPr>
          <w:rFonts w:hint="eastAsia" w:ascii="Times New Roman" w:hAnsi="Times New Roman" w:eastAsia="仿宋_GB2312" w:cs="仿宋_GB2312"/>
          <w:spacing w:val="0"/>
          <w:w w:val="100"/>
          <w:kern w:val="2"/>
          <w:position w:val="0"/>
          <w:sz w:val="32"/>
          <w:szCs w:val="32"/>
          <w:shd w:val="clear"/>
          <w:lang w:eastAsia="zh-CN" w:bidi="ar-SA"/>
        </w:rPr>
        <w:t>〕第</w:t>
      </w:r>
      <w:r>
        <w:rPr>
          <w:rFonts w:hint="default" w:ascii="Times New Roman" w:hAnsi="Times New Roman" w:eastAsia="仿宋_GB2312" w:cs="仿宋_GB2312"/>
          <w:spacing w:val="0"/>
          <w:w w:val="100"/>
          <w:kern w:val="2"/>
          <w:position w:val="0"/>
          <w:sz w:val="32"/>
          <w:szCs w:val="32"/>
          <w:shd w:val="clear"/>
          <w:lang w:eastAsia="zh-CN" w:bidi="ar-SA"/>
        </w:rPr>
        <w:t>17</w:t>
      </w:r>
      <w:r>
        <w:rPr>
          <w:rFonts w:hint="eastAsia" w:ascii="Times New Roman" w:hAnsi="Times New Roman" w:eastAsia="仿宋_GB2312" w:cs="仿宋_GB2312"/>
          <w:spacing w:val="0"/>
          <w:w w:val="100"/>
          <w:kern w:val="2"/>
          <w:position w:val="0"/>
          <w:sz w:val="32"/>
          <w:szCs w:val="32"/>
          <w:shd w:val="clear"/>
          <w:lang w:eastAsia="zh-CN" w:bidi="ar-SA"/>
        </w:rPr>
        <w:t>号公告）和《非金融机构支付服务业务系统检测认证管理规定》（中国人民银行〔</w:t>
      </w:r>
      <w:r>
        <w:rPr>
          <w:rFonts w:hint="default" w:ascii="Times New Roman" w:hAnsi="Times New Roman" w:eastAsia="仿宋_GB2312" w:cs="仿宋_GB2312"/>
          <w:spacing w:val="0"/>
          <w:w w:val="100"/>
          <w:kern w:val="2"/>
          <w:position w:val="0"/>
          <w:sz w:val="32"/>
          <w:szCs w:val="32"/>
          <w:shd w:val="clear"/>
          <w:lang w:eastAsia="zh-CN" w:bidi="ar-SA"/>
        </w:rPr>
        <w:t>2011</w:t>
      </w:r>
      <w:r>
        <w:rPr>
          <w:rFonts w:hint="eastAsia" w:ascii="Times New Roman" w:hAnsi="Times New Roman" w:eastAsia="仿宋_GB2312" w:cs="仿宋_GB2312"/>
          <w:spacing w:val="0"/>
          <w:w w:val="100"/>
          <w:kern w:val="2"/>
          <w:position w:val="0"/>
          <w:sz w:val="32"/>
          <w:szCs w:val="32"/>
          <w:shd w:val="clear"/>
          <w:lang w:eastAsia="zh-CN" w:bidi="ar-SA"/>
        </w:rPr>
        <w:t>〕第</w:t>
      </w:r>
      <w:r>
        <w:rPr>
          <w:rFonts w:hint="default" w:ascii="Times New Roman" w:hAnsi="Times New Roman" w:eastAsia="仿宋_GB2312" w:cs="仿宋_GB2312"/>
          <w:spacing w:val="0"/>
          <w:w w:val="100"/>
          <w:kern w:val="2"/>
          <w:position w:val="0"/>
          <w:sz w:val="32"/>
          <w:szCs w:val="32"/>
          <w:shd w:val="clear"/>
          <w:lang w:eastAsia="zh-CN" w:bidi="ar-SA"/>
        </w:rPr>
        <w:t>14</w:t>
      </w:r>
      <w:r>
        <w:rPr>
          <w:rFonts w:hint="eastAsia" w:ascii="Times New Roman" w:hAnsi="Times New Roman" w:eastAsia="仿宋_GB2312" w:cs="仿宋_GB2312"/>
          <w:spacing w:val="0"/>
          <w:w w:val="100"/>
          <w:kern w:val="2"/>
          <w:position w:val="0"/>
          <w:sz w:val="32"/>
          <w:szCs w:val="32"/>
          <w:shd w:val="clear"/>
          <w:lang w:eastAsia="zh-CN" w:bidi="ar-SA"/>
        </w:rPr>
        <w:t>号公告）制定本办法。</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第二条 本办法所称支付机构，是指依法取得《支付业务许可证》的非金融机构。</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第三条 本办法适用于依法设立的，注册地在广东省内（不含深圳、下同）的法人支付机构，以及其他法人支付机构在广东省内所设立的分公司。</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第四条 中国人民银行广州分行依据《非金融机构支付服务管理办法》和相关规定对广东省内支付机构的业务系统建设、信息安全、风险防控等信息科技工作进行监督管理。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p>
    <w:p>
      <w:pPr>
        <w:widowControl/>
        <w:wordWrap/>
        <w:adjustRightInd/>
        <w:snapToGrid/>
        <w:spacing w:beforeLines="0" w:afterLines="0" w:line="240" w:lineRule="auto"/>
        <w:ind w:left="0" w:leftChars="0" w:right="0" w:firstLine="602" w:firstLineChars="200"/>
        <w:jc w:val="center"/>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b/>
          <w:bCs/>
          <w:sz w:val="30"/>
        </w:rPr>
        <w:t>第二章 日常管理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第五条 支付机构应按照《非金融机构支付服务业务系统检测认证管理规定》的要求，做好取得《支付业务许可证》后本机构支付业务系统的检测认证工作。支付机构应及时将检测认证结果报告中国人民银行广州分行，中国人民银行广州分行适时对检测认证实施情况开展督查。</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第六条 支付机构应针对支付业务许可审核中发现的问题，明确具体整改方案和整改计划，及时进行整改。支付机构取得《支付业务许可证》</w:t>
      </w:r>
      <w:r>
        <w:rPr>
          <w:rFonts w:hint="default" w:ascii="Times New Roman" w:hAnsi="Times New Roman" w:eastAsia="仿宋_GB2312" w:cs="仿宋_GB2312"/>
          <w:spacing w:val="0"/>
          <w:w w:val="100"/>
          <w:kern w:val="2"/>
          <w:position w:val="0"/>
          <w:sz w:val="32"/>
          <w:szCs w:val="32"/>
          <w:shd w:val="clear"/>
          <w:lang w:eastAsia="zh-CN" w:bidi="ar-SA"/>
        </w:rPr>
        <w:t>6</w:t>
      </w:r>
      <w:r>
        <w:rPr>
          <w:rFonts w:hint="eastAsia" w:ascii="Times New Roman" w:hAnsi="Times New Roman" w:eastAsia="仿宋_GB2312" w:cs="仿宋_GB2312"/>
          <w:spacing w:val="0"/>
          <w:w w:val="100"/>
          <w:kern w:val="2"/>
          <w:position w:val="0"/>
          <w:sz w:val="32"/>
          <w:szCs w:val="32"/>
          <w:shd w:val="clear"/>
          <w:lang w:eastAsia="zh-CN" w:bidi="ar-SA"/>
        </w:rPr>
        <w:t>个月后，中国人民银行广州分行将对许可审核中所发现技术问题的整改情况进行检查验收，支付机构应积极配合相关工作。</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第七条 法人支付机构或其他法人支付机构在广东省内所设立的分公司新增、变更或撤销，应参照《金融业机构信息管理规定》（银发〔</w:t>
      </w:r>
      <w:r>
        <w:rPr>
          <w:rFonts w:hint="default" w:ascii="Times New Roman" w:hAnsi="Times New Roman" w:eastAsia="仿宋_GB2312" w:cs="仿宋_GB2312"/>
          <w:spacing w:val="0"/>
          <w:w w:val="100"/>
          <w:kern w:val="2"/>
          <w:position w:val="0"/>
          <w:sz w:val="32"/>
          <w:szCs w:val="32"/>
          <w:shd w:val="clear"/>
          <w:lang w:eastAsia="zh-CN" w:bidi="ar-SA"/>
        </w:rPr>
        <w:t>2010</w:t>
      </w:r>
      <w:r>
        <w:rPr>
          <w:rFonts w:hint="eastAsia" w:ascii="Times New Roman" w:hAnsi="Times New Roman" w:eastAsia="仿宋_GB2312" w:cs="仿宋_GB2312"/>
          <w:spacing w:val="0"/>
          <w:w w:val="100"/>
          <w:kern w:val="2"/>
          <w:position w:val="0"/>
          <w:sz w:val="32"/>
          <w:szCs w:val="32"/>
          <w:shd w:val="clear"/>
          <w:lang w:eastAsia="zh-CN" w:bidi="ar-SA"/>
        </w:rPr>
        <w:t>〕</w:t>
      </w:r>
      <w:r>
        <w:rPr>
          <w:rFonts w:hint="default" w:ascii="Times New Roman" w:hAnsi="Times New Roman" w:eastAsia="仿宋_GB2312" w:cs="仿宋_GB2312"/>
          <w:spacing w:val="0"/>
          <w:w w:val="100"/>
          <w:kern w:val="2"/>
          <w:position w:val="0"/>
          <w:sz w:val="32"/>
          <w:szCs w:val="32"/>
          <w:shd w:val="clear"/>
          <w:lang w:eastAsia="zh-CN" w:bidi="ar-SA"/>
        </w:rPr>
        <w:t>175</w:t>
      </w:r>
      <w:r>
        <w:rPr>
          <w:rFonts w:hint="eastAsia" w:ascii="Times New Roman" w:hAnsi="Times New Roman" w:eastAsia="仿宋_GB2312" w:cs="仿宋_GB2312"/>
          <w:spacing w:val="0"/>
          <w:w w:val="100"/>
          <w:kern w:val="2"/>
          <w:position w:val="0"/>
          <w:sz w:val="32"/>
          <w:szCs w:val="32"/>
          <w:shd w:val="clear"/>
          <w:lang w:eastAsia="zh-CN" w:bidi="ar-SA"/>
        </w:rPr>
        <w:t>号印发）要求，在获得批准后的</w:t>
      </w:r>
      <w:r>
        <w:rPr>
          <w:rFonts w:hint="default" w:ascii="Times New Roman" w:hAnsi="Times New Roman" w:eastAsia="仿宋_GB2312" w:cs="仿宋_GB2312"/>
          <w:spacing w:val="0"/>
          <w:w w:val="100"/>
          <w:kern w:val="2"/>
          <w:position w:val="0"/>
          <w:sz w:val="32"/>
          <w:szCs w:val="32"/>
          <w:shd w:val="clear"/>
          <w:lang w:eastAsia="zh-CN" w:bidi="ar-SA"/>
        </w:rPr>
        <w:t>7</w:t>
      </w:r>
      <w:r>
        <w:rPr>
          <w:rFonts w:hint="eastAsia" w:ascii="Times New Roman" w:hAnsi="Times New Roman" w:eastAsia="仿宋_GB2312" w:cs="仿宋_GB2312"/>
          <w:spacing w:val="0"/>
          <w:w w:val="100"/>
          <w:kern w:val="2"/>
          <w:position w:val="0"/>
          <w:sz w:val="32"/>
          <w:szCs w:val="32"/>
          <w:shd w:val="clear"/>
          <w:lang w:eastAsia="zh-CN" w:bidi="ar-SA"/>
        </w:rPr>
        <w:t>个工作日内向广东省内所在地中国人民银行地市级以上分支机构报送相关信息。</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第八条 支付机构应指定专门的技术工作联系人，负责本机构在技术方面与中国人民银行的日常沟通、联系和报告等工作。联系人如有变更，应及时向中国人民银行广州分行报告。</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p>
    <w:p>
      <w:pPr>
        <w:widowControl/>
        <w:wordWrap/>
        <w:adjustRightInd/>
        <w:snapToGrid/>
        <w:spacing w:beforeLines="0" w:afterLines="0" w:line="240" w:lineRule="auto"/>
        <w:ind w:left="0" w:leftChars="0" w:right="0" w:firstLine="602" w:firstLineChars="200"/>
        <w:jc w:val="center"/>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b/>
          <w:bCs/>
          <w:sz w:val="30"/>
        </w:rPr>
        <w:t>第三章 风险和应急管理</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第九条 支付机构应积极防范业务系统建设和运行维护过程中的风险隐患。中国人民银行广州分行适时开展对各支付机构的支付服务技术设施进行现场检查和非现场检查，支付机构应及时落实整改检查中发现的问题。</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第十条 支付机构应加强应急机制和应急基础设施建设，完善突发事件应急预案，定期开展应急演练，切实提升应急管理和处理能力，确保支付服务稳定性和连续性。</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第十一条 支付机构应切实加强系统故障恢复处理能力，建立灾难备份恢复制度，完善灾难备份设施，加强人员配备，保证关键业务的可靠性和连续性。</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第十二条 支付机构应加强系统投产及生产重大版本的变更管理，及时做好系统投产及生产重大版本变更中的风险评估、重要数据保护、业务连续性保障等工作，确保生产数据的完整性和可用性。</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第十三条 支付机构应积极关注中国人民银行发布的电子支付信息安全隐患和技术风险提示，并根据提示做好本机构的自查、整改和防范等工作，增强识别、预警和防范风险的能力。</w:t>
      </w:r>
    </w:p>
    <w:p>
      <w:pPr>
        <w:widowControl/>
        <w:wordWrap/>
        <w:adjustRightInd/>
        <w:snapToGrid/>
        <w:spacing w:beforeLines="0" w:afterLines="0" w:line="240" w:lineRule="auto"/>
        <w:ind w:left="0" w:leftChars="0" w:right="0" w:firstLine="600" w:firstLineChars="200"/>
        <w:jc w:val="left"/>
        <w:textAlignment w:val="auto"/>
        <w:outlineLvl w:val="9"/>
        <w:rPr>
          <w:rFonts w:hint="eastAsia" w:ascii="仿宋_GB2312-WinCharSetFFFF-H" w:hAnsi="仿宋_GB2312-WinCharSetFFFF-H" w:eastAsia="仿宋_GB2312-WinCharSetFFFF-H"/>
          <w:sz w:val="30"/>
        </w:rPr>
      </w:pPr>
    </w:p>
    <w:p>
      <w:pPr>
        <w:widowControl/>
        <w:wordWrap/>
        <w:adjustRightInd/>
        <w:snapToGrid/>
        <w:spacing w:beforeLines="0" w:afterLines="0" w:line="240" w:lineRule="auto"/>
        <w:ind w:left="0" w:leftChars="0" w:right="0" w:firstLine="602" w:firstLineChars="200"/>
        <w:jc w:val="center"/>
        <w:textAlignment w:val="auto"/>
        <w:outlineLvl w:val="9"/>
        <w:rPr>
          <w:rFonts w:hint="eastAsia" w:ascii="仿宋_GB2312-WinCharSetFFFF-H" w:hAnsi="仿宋_GB2312-WinCharSetFFFF-H" w:eastAsia="仿宋_GB2312-WinCharSetFFFF-H"/>
          <w:b/>
          <w:bCs/>
          <w:sz w:val="30"/>
        </w:rPr>
      </w:pPr>
      <w:r>
        <w:rPr>
          <w:rFonts w:hint="eastAsia" w:ascii="仿宋_GB2312-WinCharSetFFFF-H" w:hAnsi="仿宋_GB2312-WinCharSetFFFF-H" w:eastAsia="仿宋_GB2312-WinCharSetFFFF-H"/>
          <w:b/>
          <w:bCs/>
          <w:sz w:val="30"/>
        </w:rPr>
        <w:t>第四章 报告制度</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第十四条 支付机构应建立高效规范的信息科技重大事项报告制度，认真做好重大信息安全事件的报告与处置。信息科技重大事项和事件必须及时报告中国人民银行广州分行，报告内容应当要素齐全，客观准确。</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第十五条 支付机构应至少提前</w:t>
      </w:r>
      <w:r>
        <w:rPr>
          <w:rFonts w:hint="default" w:ascii="Times New Roman" w:hAnsi="Times New Roman" w:eastAsia="仿宋_GB2312" w:cs="仿宋_GB2312"/>
          <w:spacing w:val="0"/>
          <w:w w:val="100"/>
          <w:kern w:val="2"/>
          <w:position w:val="0"/>
          <w:sz w:val="32"/>
          <w:szCs w:val="32"/>
          <w:shd w:val="clear"/>
          <w:lang w:eastAsia="zh-CN" w:bidi="ar-SA"/>
        </w:rPr>
        <w:t>5</w:t>
      </w:r>
      <w:r>
        <w:rPr>
          <w:rFonts w:hint="eastAsia" w:ascii="Times New Roman" w:hAnsi="Times New Roman" w:eastAsia="仿宋_GB2312" w:cs="仿宋_GB2312"/>
          <w:spacing w:val="0"/>
          <w:w w:val="100"/>
          <w:kern w:val="2"/>
          <w:position w:val="0"/>
          <w:sz w:val="32"/>
          <w:szCs w:val="32"/>
          <w:shd w:val="clear"/>
          <w:lang w:eastAsia="zh-CN" w:bidi="ar-SA"/>
        </w:rPr>
        <w:t>个工作日以书面形式向中国人民银行广州分行报备下列事项，并在事项完成后</w:t>
      </w:r>
      <w:r>
        <w:rPr>
          <w:rFonts w:hint="default" w:ascii="Times New Roman" w:hAnsi="Times New Roman" w:eastAsia="仿宋_GB2312" w:cs="仿宋_GB2312"/>
          <w:spacing w:val="0"/>
          <w:w w:val="100"/>
          <w:kern w:val="2"/>
          <w:position w:val="0"/>
          <w:sz w:val="32"/>
          <w:szCs w:val="32"/>
          <w:shd w:val="clear"/>
          <w:lang w:eastAsia="zh-CN" w:bidi="ar-SA"/>
        </w:rPr>
        <w:t>5</w:t>
      </w:r>
      <w:r>
        <w:rPr>
          <w:rFonts w:hint="eastAsia" w:ascii="Times New Roman" w:hAnsi="Times New Roman" w:eastAsia="仿宋_GB2312" w:cs="仿宋_GB2312"/>
          <w:spacing w:val="0"/>
          <w:w w:val="100"/>
          <w:kern w:val="2"/>
          <w:position w:val="0"/>
          <w:sz w:val="32"/>
          <w:szCs w:val="32"/>
          <w:shd w:val="clear"/>
          <w:lang w:eastAsia="zh-CN" w:bidi="ar-SA"/>
        </w:rPr>
        <w:t>个工作日内以书面形式向中国人民银行广州分行报告。</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shd w:val="clear"/>
          <w:lang w:eastAsia="zh-CN" w:bidi="ar-SA"/>
        </w:rPr>
      </w:pPr>
      <w:r>
        <w:rPr>
          <w:rFonts w:hint="eastAsia" w:ascii="Times New Roman" w:hAnsi="Times New Roman" w:eastAsia="仿宋_GB2312" w:cs="仿宋_GB2312"/>
          <w:spacing w:val="0"/>
          <w:w w:val="100"/>
          <w:kern w:val="2"/>
          <w:position w:val="0"/>
          <w:sz w:val="32"/>
          <w:szCs w:val="32"/>
          <w:shd w:val="clear"/>
          <w:lang w:eastAsia="zh-CN" w:bidi="ar-SA"/>
        </w:rPr>
        <w:t>（一） 因支付业务系统升级改造等原因需暂停支付服务</w:t>
      </w:r>
      <w:r>
        <w:rPr>
          <w:rFonts w:hint="default" w:ascii="Times New Roman" w:hAnsi="Times New Roman" w:eastAsia="仿宋_GB2312" w:cs="仿宋_GB2312"/>
          <w:spacing w:val="0"/>
          <w:w w:val="100"/>
          <w:kern w:val="2"/>
          <w:position w:val="0"/>
          <w:sz w:val="32"/>
          <w:szCs w:val="32"/>
          <w:shd w:val="clear"/>
          <w:lang w:eastAsia="zh-CN" w:bidi="ar-SA"/>
        </w:rPr>
        <w:t>2</w:t>
      </w:r>
      <w:r>
        <w:rPr>
          <w:rFonts w:hint="eastAsia" w:ascii="Times New Roman" w:hAnsi="Times New Roman" w:eastAsia="仿宋_GB2312" w:cs="仿宋_GB2312"/>
          <w:spacing w:val="0"/>
          <w:w w:val="100"/>
          <w:kern w:val="2"/>
          <w:position w:val="0"/>
          <w:sz w:val="32"/>
          <w:szCs w:val="32"/>
          <w:shd w:val="clear"/>
          <w:lang w:eastAsia="zh-CN" w:bidi="ar-SA"/>
        </w:rPr>
        <w:t>小时以上的；</w:t>
      </w:r>
    </w:p>
    <w:p>
      <w:pPr>
        <w:widowControl/>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（二） 支付业务系统所在机房搬迁、机房设施发生重大变更或网络结构发生重大调整；</w:t>
      </w:r>
    </w:p>
    <w:p>
      <w:pPr>
        <w:widowControl/>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（三） 支付业务生产系统发生重大变更；</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（四） 开展可能影响支付业务系统运行的环境设施及应用系统的应急演练。</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 xml:space="preserve">第十六条 </w:t>
      </w:r>
      <w:r>
        <w:rPr>
          <w:rFonts w:hint="eastAsia" w:ascii="仿宋_GB2312-WinCharSetFFFF-H" w:hAnsi="仿宋_GB2312-WinCharSetFFFF-H" w:eastAsia="仿宋_GB2312-WinCharSetFFFF-H"/>
          <w:sz w:val="30"/>
        </w:rPr>
        <w:t>支付机构发生符合下列一种或以上条件的信息安全事件，必须立即以电话、传真等方式向中国人民银行广州分行报告，并在</w:t>
      </w:r>
      <w:r>
        <w:rPr>
          <w:rFonts w:hint="eastAsia" w:ascii="仿宋_GB2312-WinCharSetFFFF-H" w:hAnsi="仿宋_GB2312-WinCharSetFFFF-H" w:eastAsia="仿宋_GB2312-WinCharSetFFFF-H"/>
          <w:sz w:val="30"/>
          <w:lang w:val="en-US" w:eastAsia="zh-CN"/>
        </w:rPr>
        <w:t>3</w:t>
      </w:r>
      <w:r>
        <w:rPr>
          <w:rFonts w:hint="eastAsia" w:ascii="仿宋_GB2312-WinCharSetFFFF-H" w:hAnsi="仿宋_GB2312-WinCharSetFFFF-H" w:eastAsia="仿宋_GB2312-WinCharSetFFFF-H"/>
          <w:sz w:val="30"/>
        </w:rPr>
        <w:t>个工作日内以书面形式完整报告：</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（一） 支付业务系统中断或运行不正常超过</w:t>
      </w:r>
      <w:r>
        <w:rPr>
          <w:rFonts w:hint="eastAsia" w:ascii="仿宋_GB2312-WinCharSetFFFF-H" w:hAnsi="仿宋_GB2312-WinCharSetFFFF-H" w:eastAsia="仿宋_GB2312-WinCharSetFFFF-H"/>
          <w:sz w:val="30"/>
          <w:lang w:val="en-US" w:eastAsia="zh-CN"/>
        </w:rPr>
        <w:t>2</w:t>
      </w:r>
      <w:r>
        <w:rPr>
          <w:rFonts w:hint="eastAsia" w:ascii="仿宋_GB2312-WinCharSetFFFF-H" w:hAnsi="仿宋_GB2312-WinCharSetFFFF-H" w:eastAsia="仿宋_GB2312-WinCharSetFFFF-H"/>
          <w:sz w:val="30"/>
        </w:rPr>
        <w:t>小时；</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（二） 造成直接经济损失超过</w:t>
      </w:r>
      <w:r>
        <w:rPr>
          <w:rFonts w:hint="default" w:ascii="仿宋_GB2312-WinCharSetFFFF-H" w:hAnsi="仿宋_GB2312-WinCharSetFFFF-H" w:eastAsia="仿宋_GB2312-WinCharSetFFFF-H"/>
          <w:sz w:val="30"/>
        </w:rPr>
        <w:t>100</w:t>
      </w:r>
      <w:r>
        <w:rPr>
          <w:rFonts w:hint="eastAsia" w:ascii="仿宋_GB2312-WinCharSetFFFF-H" w:hAnsi="仿宋_GB2312-WinCharSetFFFF-H" w:eastAsia="仿宋_GB2312-WinCharSetFFFF-H"/>
          <w:sz w:val="30"/>
        </w:rPr>
        <w:t>万元；</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（三） 严重威胁支付机构资金安全；</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（四） 支付业务系统不能正常运营且影响范围超过一个县级行政区域等情形的；</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（五） 其他对支付业务系统构成重大影响或中国人民银行要求的情形。</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 xml:space="preserve">第十七条 </w:t>
      </w:r>
      <w:r>
        <w:rPr>
          <w:rFonts w:hint="eastAsia" w:ascii="仿宋_GB2312-WinCharSetFFFF-H" w:hAnsi="仿宋_GB2312-WinCharSetFFFF-H" w:eastAsia="仿宋_GB2312-WinCharSetFFFF-H"/>
          <w:sz w:val="30"/>
        </w:rPr>
        <w:t>本办法所指信息安全事件是指由于人为、自然因素或计算机软硬件缺陷等原因，导致网络、信息系统出现异常或数据受到侵害，影响网络与信息系统正常运行或数据安全。具体包括：信息系统软硬件故障，网络通信系统故障，供电系统故障，感染计算机病毒，数据处理中心遭受自然灾害（水灾、火灾及雷击等），网络遭入侵或攻击，系统数据或敏感信息被窃取、篡改、假冒，重要数据处理设备失窃等。</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 xml:space="preserve">第十八条 </w:t>
      </w:r>
      <w:r>
        <w:rPr>
          <w:rFonts w:hint="eastAsia" w:ascii="仿宋_GB2312-WinCharSetFFFF-H" w:hAnsi="仿宋_GB2312-WinCharSetFFFF-H" w:eastAsia="仿宋_GB2312-WinCharSetFFFF-H"/>
          <w:sz w:val="30"/>
        </w:rPr>
        <w:t>支付机构信息安全事件报告应包括以下内容：</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（一） 信息安全事件发生的时间、地点、单位、单位负责人和联系方式；</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（二） 信息安全事件的类别、涉及软硬件系统的情况和事件发生的过程；</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（三） 信息安全事件造成的后果和影响范围；</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（四） 信息安全事件发生的原因；</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（五） 责任人或涉案人员；</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（六） 信息安全事件发生后采取的应急、补救措施。</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 xml:space="preserve">第十九条 </w:t>
      </w:r>
      <w:r>
        <w:rPr>
          <w:rFonts w:hint="eastAsia" w:ascii="仿宋_GB2312-WinCharSetFFFF-H" w:hAnsi="仿宋_GB2312-WinCharSetFFFF-H" w:eastAsia="仿宋_GB2312-WinCharSetFFFF-H"/>
          <w:sz w:val="30"/>
        </w:rPr>
        <w:t>对存在不报、漏报、迟报、瞒报和错报信息科技重大事项、事件的支付机构，中国人民银行广州分行将依法依规进行处理。</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 xml:space="preserve">第二十条 </w:t>
      </w:r>
      <w:r>
        <w:rPr>
          <w:rFonts w:hint="eastAsia" w:ascii="仿宋_GB2312-WinCharSetFFFF-H" w:hAnsi="仿宋_GB2312-WinCharSetFFFF-H" w:eastAsia="仿宋_GB2312-WinCharSetFFFF-H"/>
          <w:sz w:val="30"/>
        </w:rPr>
        <w:t>支付机构应按照中国人民银行年度支付机构监管报告制度要求，在向中国人民银行提交的年度自我评估报告中，总结每年支付业务系统运行安全与维护的情况，反映支付机构年内对支付业务处理系统、信息安全管理与技术风险防范方面的工作开展情况。</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p>
    <w:p>
      <w:pPr>
        <w:widowControl/>
        <w:shd w:val="clear" w:color="auto" w:fill="auto"/>
        <w:wordWrap/>
        <w:adjustRightInd/>
        <w:snapToGrid/>
        <w:spacing w:beforeLines="0" w:afterLines="0" w:line="240" w:lineRule="auto"/>
        <w:ind w:left="0" w:leftChars="0" w:right="0" w:firstLine="602" w:firstLineChars="200"/>
        <w:jc w:val="center"/>
        <w:textAlignment w:val="auto"/>
        <w:outlineLvl w:val="9"/>
        <w:rPr>
          <w:rFonts w:hint="eastAsia" w:ascii="仿宋_GB2312-WinCharSetFFFF-H" w:hAnsi="仿宋_GB2312-WinCharSetFFFF-H" w:eastAsia="仿宋_GB2312-WinCharSetFFFF-H"/>
          <w:b/>
          <w:bCs/>
          <w:sz w:val="30"/>
        </w:rPr>
      </w:pPr>
      <w:r>
        <w:rPr>
          <w:rFonts w:hint="eastAsia" w:ascii="仿宋_GB2312-WinCharSetFFFF-H" w:hAnsi="仿宋_GB2312-WinCharSetFFFF-H" w:eastAsia="仿宋_GB2312-WinCharSetFFFF-H"/>
          <w:b/>
          <w:bCs/>
          <w:sz w:val="30"/>
        </w:rPr>
        <w:t>第五章 附则</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 xml:space="preserve">第二十一条 </w:t>
      </w:r>
      <w:r>
        <w:rPr>
          <w:rFonts w:hint="eastAsia" w:ascii="仿宋_GB2312-WinCharSetFFFF-H" w:hAnsi="仿宋_GB2312-WinCharSetFFFF-H" w:eastAsia="仿宋_GB2312-WinCharSetFFFF-H"/>
          <w:sz w:val="30"/>
        </w:rPr>
        <w:t>本办法由中国人民银行广州分行负责解释。</w:t>
      </w:r>
    </w:p>
    <w:p>
      <w:pPr>
        <w:widowControl/>
        <w:shd w:val="clear" w:color="auto" w:fill="auto"/>
        <w:wordWrap/>
        <w:adjustRightInd/>
        <w:snapToGrid/>
        <w:spacing w:beforeLines="0" w:afterLines="0" w:line="240" w:lineRule="auto"/>
        <w:ind w:left="1636" w:leftChars="278" w:right="0" w:hanging="969" w:hangingChars="323"/>
        <w:jc w:val="left"/>
        <w:textAlignment w:val="auto"/>
        <w:outlineLvl w:val="9"/>
        <w:rPr>
          <w:rFonts w:hint="eastAsia" w:ascii="仿宋_GB2312-WinCharSetFFFF-H" w:hAnsi="仿宋_GB2312-WinCharSetFFFF-H" w:eastAsia="仿宋_GB2312-WinCharSetFFFF-H"/>
          <w:sz w:val="30"/>
        </w:rPr>
      </w:pPr>
      <w:r>
        <w:rPr>
          <w:rFonts w:hint="eastAsia" w:ascii="仿宋_GB2312-WinCharSetFFFF-H" w:hAnsi="仿宋_GB2312-WinCharSetFFFF-H" w:eastAsia="仿宋_GB2312-WinCharSetFFFF-H"/>
          <w:sz w:val="30"/>
        </w:rPr>
        <w:t xml:space="preserve">第二十二条 </w:t>
      </w:r>
      <w:r>
        <w:rPr>
          <w:rFonts w:hint="eastAsia" w:ascii="仿宋_GB2312-WinCharSetFFFF-H" w:hAnsi="仿宋_GB2312-WinCharSetFFFF-H" w:eastAsia="仿宋_GB2312-WinCharSetFFFF-H"/>
          <w:sz w:val="30"/>
        </w:rPr>
        <w:t>本办法自发布之日起施行。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97772D25-A184-4881-81B4-EF500C1B3EA8}"/>
  </w:font>
  <w:font w:name="黑体-WinCharSetFFFF-H">
    <w:altName w:val="黑体"/>
    <w:panose1 w:val="00000000000000000000"/>
    <w:charset w:val="86"/>
    <w:family w:val="auto"/>
    <w:pitch w:val="default"/>
    <w:sig w:usb0="00000000" w:usb1="00000000" w:usb2="00000000" w:usb3="00000000" w:csb0="00040000" w:csb1="00000000"/>
  </w:font>
  <w:font w:name="仿宋_GB2312-WinCharSetFFFF-H">
    <w:altName w:val="仿宋"/>
    <w:panose1 w:val="00000000000000000000"/>
    <w:charset w:val="86"/>
    <w:family w:val="auto"/>
    <w:pitch w:val="default"/>
    <w:sig w:usb0="00000000" w:usb1="00000000" w:usb2="00000000" w:usb3="00000000" w:csb0="00040000" w:csb1="00000000"/>
    <w:embedRegular r:id="rId2" w:fontKey="{389031CE-A7B9-46C9-943E-079039350B79}"/>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9BA2B9FF-0C8C-49C2-8CB2-A031DE213873}"/>
  </w:font>
  <w:font w:name="仿宋_GB2312">
    <w:altName w:val="仿宋"/>
    <w:panose1 w:val="00000000000000000000"/>
    <w:charset w:val="00"/>
    <w:family w:val="auto"/>
    <w:pitch w:val="default"/>
    <w:sig w:usb0="00000000" w:usb1="00000000" w:usb2="00000000" w:usb3="00000000" w:csb0="00000000" w:csb1="00000000"/>
    <w:embedRegular r:id="rId4" w:fontKey="{4B3327F7-8E9E-4372-9813-EAA3F672614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kYmFiMDRhMjczMGI5MjA1ZjFlNTgxZDc0Y2IwYjEifQ=="/>
  </w:docVars>
  <w:rsids>
    <w:rsidRoot w:val="28541AAD"/>
    <w:rsid w:val="28541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hd w:val="clear" w:color="auto" w:fill="auto"/>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2023-08-29T09:04:00Z</dcterms:created>
  <dc:creator>君临</dc:creator>
  <cp:lastModifiedBy>君临</cp:lastModifiedBy>
  <dcterms:modified xsi:type="dcterms:W3CDTF">2023-08-29T09:11:42Z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EA8EFEEAE2CE47088B5238FCEE13F7BF_11</vt:lpwstr>
  </property>
</Properties>
</file>