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粤港外币实时支付系统管理暂行办法</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为保障粤港外币实时支付系统的正常运行，加速资金周转，防范支付风险，根据支付结算和外汇管理有关规定，制定本办法。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粤港外币实时支付系统（以下简称“系统</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）是对粤港联合支付结算业务的外币贷记支付指令进行逐笔处理、实时清算资金的支付系统。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经中国人民银行广州分行（以下简称“人行广州分行”）批准，在广东省内通过系统办理外币支付结算业务的银行、农村信用社（以下统称银行），适用本办法。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系统参与者指参与系统运行的银行、处理中心、香港代理银行及资金清算者。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（一）参与系统运行的银行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发起行：指向提出行提交支付信息的银行。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提出行和提入行：指在国家外汇管理局广东分局（以下简称“外汇广东分局”）开设清算账户的银行。提出支付指令时称提出行，提回支付指令时称提入行。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接收行：指从提入行接收支付信息的银行。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发起行、接收行、提出行和提入行统称参与行，其中发起行、接收行又称为间接参与行，提出行和提入行又称为直接参与行。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处理中心：指接收、转发支付信息，并进行资金处理的机构。在粵方为广州银行电子结算中心（以下简称“结算中心”）。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（三）香港代理银行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指人行广州分行委托代理粤港联合结算业务在广东与香港之间支付指令的转发和资金清算的中国银行（香港）有限公司。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（四）资金清算者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在粤方为外汇局广东分局。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人行广州分行负责系统的统一规划，对系统参与行和处理中心进行监督和管理，并负责系统运行中纠纷的调解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以及对代理银行的代理行为进行监督。外汇局广东分局负责清算账户管理及资金清算，并负责相关的外汇管理。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结算中心负责系统的开发和应用软件的维护及版本的升级,并负责管理系统后台的日常运行工作。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直接参与行负责提出和提入支付业务及本清算账户下所有支付业务的资金清算，并对所辖下属参与行进行管理和监督。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间接参与行负责按本办法规定发送和接收支付指令。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香港代理银行负责管理外汇局广东分局在该行开设的清算账户，并将香港各银行发往广东的支付指令转发至广州外币实时支付系统，同时将广东发往香港各银行的支付指令转发至香港即时支付系统。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系统参与者办理粤港支付业务，应遵守国际收支业务的有关规定。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付款人发出的外币支付指令，从发起行确认发送开始生效，至接收行确认并贷记收款人账户完成。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支付指令指经发起行确认有效的凭证或电子形式的支付信息。支付指令只有签章（和密码）正确、要素齐全，符合规定的报文格式和安全认证，才能获得确认；经过确认的支付指令才能发生支付效力。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支付指令从系统参与者与系统及系统各节点之间发送和接收，均应取得确认，并确保保证支付指令在传递过程中不被丢失、重发或篡改。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支付指令由纸凭证转换为电子信息，或由电子信息转换为纸凭证，其相互间具有同等的支付效力。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支付指令由纸凭证转换为电子支付指令，电子支付指令生效，纸凭证失去支付效力；电子支付指令转换为纸凭证，纸凭证生效，电子支付指令失去支付效力。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系统处理以接收的电子支付指令为准，而不以发起行截留的纸凭证为准。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凡具有办理外币支付结算业务资格，并具备参与系统运行的业务和技术条件的银行，均可申请参与系统，人行广州分行在接到参与申请书及相关材料后，在10日内对其外币支付业务结算资格进行确认，确认后，申请行即可参与系统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参与行自愿退出系统运行，须向人行广州分行提交书面申请，经批准后方可退出。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对于被关闭、被宣告破产或发生严重违规行为的参与行，人行广州分行可停止其参与系统的运行。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参与行变更有关信息，须向人行广州分行提出书面申请，经核准后方可变更。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系统连接模式为：前置机与处理中心主机连接,前置机终端到网点。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前置机处理支付指令的发送、接收、撤销和查询等。处理中心主机处理支付指令的接收、确认、转发、查询等。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前置机系统由参与行负责运行，处理中心主机由结算中心负责运行。系统运行责任方应配备专职的操作人员及系统管理员，严格按照操作规程作业，禁止非授权人员上机操作。专职操作员必须经结算中心培训并考核合格后方能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系统釆用密钥来确认每个参与行的合法身份，以确保系统通讯安全。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负责银行登录的当事人负有保密责任，任何因泄密所造成的损失，由责任方承担。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系统实行操作级别管理，按操作权限将系统用户分为系统管理员、业务主管和操作员。同一系统用户不能同时拥有两个以上（含两个）操作级别。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系统的硬件管理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参与行的前置机及配套设备由各参与行按结算中心规定的配置要求自行购买、安装、测试、维护。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通讯线路及线路调制设备由各参与行按照统一标准自行租用、安装、测试和维护。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参与行对系统硬件及线路调制设备的任何修改、更换或增加，应经结算中心同意。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处理中心的主机、银行前置机等系统关键设备应作双机热备份。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系统的软件管理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系统应用软件由结算中心负责开发、安装和维护，未经结算中心许可，任何单位和个人不得修改、出借、出租或转让。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结算中心对系统应用软件进行修改，须经人行广州分行同意，并提前书面通知各参与行。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各参与行和结算中心应对数据作日终脱机备份。脱机备份数据的保存期限按照《会计档案管理办法》规定的同类会计档案的保存期限执行。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系统业务处理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系统运行工作日为国家法定工作日。遇香港或国内公众节假日、香港悬挂八号台风或黑色暴雨警告信号，粤港支付业务停止运行。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遇特殊情况，经人行广州分行批准，结算中心可调整系统运行工作日，但应提前通知各系统参与者。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系统运行时间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（一）营业窗口时间：处理MT103业务为9：00-16：00；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处理MT202业务为9：00-17：00o</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（二）日终处理时间：17：30起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参与行必须按系统运行时间发起或接收正常的支付业务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粤港支付业务的处理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（一）广东发起的粤港外币支付业务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1、发起行的处理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发起行受理付款人提交的粤港支付业务并审查无误后，应按规定格式将原始凭证经录入、复核等转换为系统处理的电子支付指令，经提出行及时发送处理中心。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2、处理中心的处理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中心对接收的粤港支付指令进行有效性检查。将确认有效的支付指令转发给外汇局广东分局清算账户系统，获悉已冻结该笔资金信息后，处理中心将该笔支付指令转发给香港代理银行；对确认无效的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如提出行的清算账户头寸不足，将其发出的有效支付指令作拒收处理。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香港代理银行对接收到的支付指令进行有效性检查，对确认有效的支付指令，按支付金额在外汇局广东分局存款账户作冻结处理，并提交香港即时支付系统处理。香港即时支付系统成功处理后，代理银行按已冻结的金额清算资金，借记外汇局广东分局存款账户；香港即时支付系统如不能成功处理，代理银行则解除对外汇局广东分局存款账户里冻结的金额；香港代理银行对确认无效的支付指令作拒收处理，并将处理结果反馈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4、外汇局广东分局的处理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汇局广东局清算账户系统接收处理中心转发的支付指令后，如提出行的清算账户余额足够清算，立即进行资金冻结，借记提出行清算账户，贷记有关科目，并将清算结果反馈处理中心；如提出行的清算账户余额不足清算，通知处理中心将该笔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（二）香港发往广东的支付业务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1、香港代理行的处理。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香港代理银行收到香港各银行通过香港即时支付系统发往广东的支付指令，贷记外汇局广东分局存款账户，并将支付指令转发处理中心。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2、处理中心的处理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处理中心进行有效性检查，对确认有效的支付指令转发外汇局广东分局的清算账户系统进行资金清算，并将清算后的信息发给提入行。对确认无效的支付指令作拒收处理。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3、接收行和提入行的处理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提入行从处理中心接收已清算的支付指令，进行有效性检查，确认有效的支付指令应立即贷记收款人账户，或转接收行贷记收款人账户；有错误或疑问的支付指令作退回处理。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提入行或接收行打印来账凭证，加盖转讫章，作为收账通知交收款人。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非正常情况下业务的处理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处理中心系统关键设备出现故障，应立即切换到备份设备继续运行。如果切换失败，则暂停业务。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通讯线路出现故障，提出行或提入行可待通讯线路恢复正常后继续以联机方式提出或提回断点后的支付指令。在营业窗口关闭前仍无法恢复正常，则区别情况处理。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非正常情况出现前后处理的支付指令应确保连续性。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支付业务的退回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粤港支付业务的退回申请和退回的办理，按国际结算的惯例处理。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日终处理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每个工作日营业窗口关闭后，处理中心系统作日终处理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中心负责与外汇局广东分局和香港代理行进行对账，核对相符后，向各直接参与行发送对账信息，并将当日轧差数据传送到外汇局广东分局进行资金清算；并打印一式二联的轧差凭证，第一联送外汇局广东分局，第二联加盖有关印章通过票据交换送给各直接参与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各直接参与行根据处理中心发送的对账信息进行日终对账。核对不符的，以处理中心数据为准，查明原因，作相应处理。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各参与行须收到处理中心发出的对账信息后，方可进行日终处理。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信息查询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参与行可按相应的操作权限通过系统查询本行的支付信息、管理信息和头寸变化情况。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在前置机数据联机储存期限内，可进行支付信息的联机查询，超过联机储存期限的信息可通过磁介质查询。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处理中心提供30个工作日以内支付信息的联机查询。参与行查询经处理中心处理的历史数据，需向结算中心提出书面申请。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系统参与者的权利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发起行和提出行的权利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对付款人存款不足的贷记支付指令和不符合外汇管理规定及本办法规定的支付指令拒绝受理；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对发出的支付指令向处理中心查询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查询本行清算账户余额和支付情况；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调整本行发出的正在排队支付指令的顺序；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对责任人由于第三十七</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所列责任造成的资金延误、错误或损失要求更正或赔偿。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处理中心的权利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对不符合本办法规定的支付指令拒绝受理；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根据人行广州分行的授权行使其他权利。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外汇局广东分局的权利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对不符合本办法规定的支付指令拒绝进行资金清算；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对违反外汇管理规定的参与者进行查处。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接收行和提入行的权利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对不符合本办法规定、非本行的支付指令拒绝受理；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查询本行清算账户余额和支付情况。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系统参与者的义务和责任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发起行和提出行的义务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在清算账户保持足够支付的余额；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对发起人提交的符合规定的支付指令予以受理；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对已受理的支付指令，准确及时地发送处理中心，并将原支付指令截留保存；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对符合本办法规定的查询及时办理查复；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及时核对支付信息，确保准确无误；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遵守外汇管理法规制度。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处理中心的义务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对收到的符合规定的支付指令给予受理，并返回确认通知；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对受理的支付指令准确、及时转发；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提供本办法规定的各种信息；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对符合本办法规定的查询及时办理查复；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与参与行及清算账户核对系统处理的支付信息，确保准确无误；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对系统数据进行备份，确保数据安全、完整。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接收行和提入行的义务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按规定的时间接收处理中心转发的支付指令；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对符合本办法规定的查询及时办理查复；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对符合本办法规定的退回申请予以受理；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对收到非本行受理的支付指令或有错误、有疑问的支付指令及时主动退回；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及时核对支付信息，确保准确无误；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遵守外汇管理法规制度。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因系统参与行或处理中心的责任造成迟发、漏发、错发、丢失支付指令的，由责任方负责补救；造成延误的，按延误天数和同档次流动资金贷款利率计付赔偿金；造成资金损失的，负责资金赔偿。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因管理不善、违章操作、系统机密文件泄漏或支付指令在传送过程中被篡改而发生资金被截留、挪用、诈骗、贪污的，由责任方承担行政或刑事责任。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参与行提回支付指令后，应立即进行核对。如参与行未把所收到的非本行受理的支付指令或有错误、有疑问的支付指令及时退回发起行，由此造成的损失由该参与行承担。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参与行违反外汇管理法规制度，由外汇局广东分局依据有关规定进行处罚。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系统参与行退出系统运行后，应继续对在参与系统运行过程中的一切行为及其后果负责，即使被兼并或合并，其兼并方或新的实体也应继续承担相应责任。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因不可抗拒或其他超出系统控制范围的原因而导致的资金延误和损失，系统参与者有排除障碍和采取补救措施的义务，但不承担责任。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香港代理行的权利、义务和责任，由人行广州分行与其签定协议，予以规定。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纠纷的解决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发起人、接收人、系统参与行、结算中心在参与系统运行时发生纠纷，应尽量协商解决，协商不成的可由直接参与行向人行广州分行申请调解，也可直接向仲裁机构提起仲裁或者向人民法院提起诉讼。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当事人申请调解的，应从其知道其权益受到侵害时起两年内提出。人行广州分行根据双方当事人的自愿进行调解，调解不成的，当事人可向人民法院提起诉讼。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本办法由人行广州分行负责制定、解释和修改。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eastAsia="zh-CN"/>
        </w:rPr>
        <w:t xml:space="preserve">条 </w:t>
      </w:r>
      <w:r>
        <w:rPr>
          <w:rFonts w:hint="eastAsia" w:ascii="仿宋_GB2312" w:hAnsi="仿宋_GB2312" w:eastAsia="仿宋_GB2312" w:cs="仿宋_GB2312"/>
          <w:sz w:val="32"/>
          <w:szCs w:val="32"/>
        </w:rPr>
        <w:t>本办法自系统运行之日起施行。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CC108-AFF1-4BCF-9758-763B2EBAA6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CD4E277-F0A3-43BC-98A5-1950766CADE4}"/>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Segoe Print">
    <w:panose1 w:val="02000600000000000000"/>
    <w:charset w:val="00"/>
    <w:family w:val="auto"/>
    <w:pitch w:val="default"/>
    <w:sig w:usb0="0000028F" w:usb1="00000000" w:usb2="00000000" w:usb3="00000000" w:csb0="2000009F" w:csb1="47010000"/>
  </w:font>
  <w:font w:name="Shruti">
    <w:panose1 w:val="020B0502040204020203"/>
    <w:charset w:val="00"/>
    <w:family w:val="auto"/>
    <w:pitch w:val="default"/>
    <w:sig w:usb0="00040003" w:usb1="00000000" w:usb2="00000000" w:usb3="00000000" w:csb0="00000001"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3" w:fontKey="{5ED43E59-5874-4704-8C75-14B9D9E64D94}"/>
  </w:font>
  <w:font w:name="仿宋_GB213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4" w:fontKey="{3907A176-DD4F-4D4F-8B81-7F316CDEACC7}"/>
  </w:font>
  <w:font w:name="方正仿宋_GB2312">
    <w:altName w:val="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YmFiMDRhMjczMGI5MjA1ZjFlNTgxZDc0Y2IwYjEifQ=="/>
  </w:docVars>
  <w:rsids>
    <w:rsidRoot w:val="193326D1"/>
    <w:rsid w:val="1933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2023-08-21T07:37:00Z</dcterms:created>
  <dc:creator>君临</dc:creator>
  <cp:lastModifiedBy>君临</cp:lastModifiedBy>
  <dcterms:modified xsi:type="dcterms:W3CDTF">2023-08-21T09:11:46Z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DE84CBE397754123AAC3F79F56F9349D_11</vt:lpwstr>
  </property>
</Properties>
</file>