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Times New Roman" w:hAnsi="Times New Roman" w:eastAsia="方正小标宋_GBK" w:cs="方正小标宋_GBK"/>
          <w:spacing w:val="0"/>
          <w:w w:val="100"/>
          <w:kern w:val="2"/>
          <w:position w:val="0"/>
          <w:sz w:val="36"/>
          <w:szCs w:val="36"/>
          <w:shd w:val="clear"/>
          <w:lang w:eastAsia="zh-CN" w:bidi="ar-SA"/>
        </w:rPr>
      </w:pPr>
      <w:r>
        <w:rPr>
          <w:rFonts w:hint="eastAsia" w:ascii="Times New Roman" w:hAnsi="Times New Roman" w:eastAsia="方正小标宋_GBK" w:cs="方正小标宋_GBK"/>
          <w:spacing w:val="0"/>
          <w:w w:val="100"/>
          <w:kern w:val="2"/>
          <w:position w:val="0"/>
          <w:sz w:val="36"/>
          <w:szCs w:val="36"/>
          <w:shd w:val="clear"/>
          <w:lang w:eastAsia="zh-CN" w:bidi="ar-SA"/>
        </w:rPr>
        <w:t>附件</w:t>
      </w:r>
      <w:r>
        <w:rPr>
          <w:rFonts w:hint="eastAsia" w:ascii="Times New Roman" w:hAnsi="Times New Roman" w:eastAsia="方正小标宋_GBK" w:cs="方正小标宋_GBK"/>
          <w:spacing w:val="0"/>
          <w:w w:val="100"/>
          <w:kern w:val="2"/>
          <w:position w:val="0"/>
          <w:sz w:val="36"/>
          <w:szCs w:val="36"/>
          <w:shd w:val="clear"/>
          <w:lang w:val="zh-CN" w:eastAsia="zh-CN" w:bidi="ar-SA"/>
        </w:rPr>
        <w:t>3</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_GBK" w:cs="方正小标宋_GBK"/>
          <w:spacing w:val="0"/>
          <w:w w:val="100"/>
          <w:kern w:val="2"/>
          <w:position w:val="0"/>
          <w:sz w:val="36"/>
          <w:szCs w:val="36"/>
          <w:shd w:val="clear"/>
          <w:lang w:eastAsia="zh-CN" w:bidi="ar-SA"/>
        </w:rPr>
      </w:pPr>
      <w:bookmarkStart w:id="0" w:name="bookmark32"/>
      <w:bookmarkStart w:id="1" w:name="bookmark31"/>
      <w:bookmarkStart w:id="2" w:name="bookmark30"/>
      <w:r>
        <w:rPr>
          <w:rFonts w:hint="eastAsia" w:ascii="Times New Roman" w:hAnsi="Times New Roman" w:eastAsia="方正小标宋_GBK" w:cs="方正小标宋_GBK"/>
          <w:spacing w:val="0"/>
          <w:w w:val="100"/>
          <w:kern w:val="2"/>
          <w:position w:val="0"/>
          <w:sz w:val="36"/>
          <w:szCs w:val="36"/>
          <w:shd w:val="clear"/>
          <w:lang w:eastAsia="zh-CN" w:bidi="ar-SA"/>
        </w:rPr>
        <w:t>粤港外币资金清算操作细则</w:t>
      </w:r>
      <w:bookmarkEnd w:id="0"/>
      <w:bookmarkEnd w:id="1"/>
      <w:bookmarkEnd w:id="2"/>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_GBK" w:cs="方正小标宋_GBK"/>
          <w:spacing w:val="0"/>
          <w:w w:val="100"/>
          <w:kern w:val="2"/>
          <w:position w:val="0"/>
          <w:sz w:val="36"/>
          <w:szCs w:val="36"/>
          <w:shd w:val="clear"/>
          <w:lang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第一条 为落实《粤港外币资金清算管理暂行办法》，便于各清算行资金清算运作与管理，确保粤港外币资金清算业务的正常运作，特制定本操作细则。</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第二条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外汇指定银行开立清算账户须提供下列文件：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bookmarkStart w:id="3" w:name="bookmark33"/>
      <w:r>
        <w:rPr>
          <w:rFonts w:hint="eastAsia" w:ascii="Times New Roman" w:hAnsi="Times New Roman" w:eastAsia="仿宋_GB2312" w:cs="仿宋_GB2312"/>
          <w:spacing w:val="0"/>
          <w:w w:val="100"/>
          <w:kern w:val="2"/>
          <w:position w:val="0"/>
          <w:sz w:val="32"/>
          <w:szCs w:val="32"/>
          <w:shd w:val="clear"/>
          <w:lang w:eastAsia="zh-CN" w:bidi="ar-SA"/>
        </w:rPr>
        <w:t>1</w:t>
      </w:r>
      <w:bookmarkEnd w:id="3"/>
      <w:r>
        <w:rPr>
          <w:rFonts w:hint="eastAsia" w:ascii="Times New Roman" w:hAnsi="Times New Roman" w:eastAsia="仿宋_GB2312" w:cs="仿宋_GB2312"/>
          <w:spacing w:val="0"/>
          <w:w w:val="100"/>
          <w:kern w:val="2"/>
          <w:position w:val="0"/>
          <w:sz w:val="32"/>
          <w:szCs w:val="32"/>
          <w:shd w:val="clear"/>
          <w:lang w:eastAsia="zh-CN" w:bidi="ar-SA"/>
        </w:rPr>
        <w:t>、开户申请书；</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bookmarkStart w:id="4" w:name="bookmark34"/>
      <w:r>
        <w:rPr>
          <w:rFonts w:hint="eastAsia" w:ascii="Times New Roman" w:hAnsi="Times New Roman" w:eastAsia="仿宋_GB2312" w:cs="仿宋_GB2312"/>
          <w:spacing w:val="0"/>
          <w:w w:val="100"/>
          <w:kern w:val="2"/>
          <w:position w:val="0"/>
          <w:sz w:val="32"/>
          <w:szCs w:val="32"/>
          <w:shd w:val="clear"/>
          <w:lang w:eastAsia="zh-CN" w:bidi="ar-SA"/>
        </w:rPr>
        <w:t>2</w:t>
      </w:r>
      <w:bookmarkEnd w:id="4"/>
      <w:r>
        <w:rPr>
          <w:rFonts w:hint="eastAsia" w:ascii="Times New Roman" w:hAnsi="Times New Roman" w:eastAsia="仿宋_GB2312" w:cs="仿宋_GB2312"/>
          <w:spacing w:val="0"/>
          <w:w w:val="100"/>
          <w:kern w:val="2"/>
          <w:position w:val="0"/>
          <w:sz w:val="32"/>
          <w:szCs w:val="32"/>
          <w:shd w:val="clear"/>
          <w:lang w:eastAsia="zh-CN" w:bidi="ar-SA"/>
        </w:rPr>
        <w:t>、中国人民银行广州分行批准参加粤港外币票据交换业务及粤港实时支付系统的文件（已参与粤港外币票据联合结算业务的清算行申请开立美元清算账户的除外）；</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bookmarkStart w:id="5" w:name="bookmark35"/>
      <w:r>
        <w:rPr>
          <w:rFonts w:hint="eastAsia" w:ascii="Times New Roman" w:hAnsi="Times New Roman" w:eastAsia="仿宋_GB2312" w:cs="仿宋_GB2312"/>
          <w:spacing w:val="0"/>
          <w:w w:val="100"/>
          <w:kern w:val="2"/>
          <w:position w:val="0"/>
          <w:sz w:val="32"/>
          <w:szCs w:val="32"/>
          <w:shd w:val="clear"/>
          <w:lang w:eastAsia="zh-CN" w:bidi="ar-SA"/>
        </w:rPr>
        <w:t>3</w:t>
      </w:r>
      <w:bookmarkEnd w:id="5"/>
      <w:r>
        <w:rPr>
          <w:rFonts w:hint="eastAsia" w:ascii="Times New Roman" w:hAnsi="Times New Roman" w:eastAsia="仿宋_GB2312" w:cs="仿宋_GB2312"/>
          <w:spacing w:val="0"/>
          <w:w w:val="100"/>
          <w:kern w:val="2"/>
          <w:position w:val="0"/>
          <w:sz w:val="32"/>
          <w:szCs w:val="32"/>
          <w:shd w:val="clear"/>
          <w:lang w:eastAsia="zh-CN" w:bidi="ar-SA"/>
        </w:rPr>
        <w:t>、省辖分支机构需独立开户清算的，须持有其上级行授权函。</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第三条外汇指定银行开立清算账户应办理下列手续：</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bookmarkStart w:id="6" w:name="bookmark36"/>
      <w:r>
        <w:rPr>
          <w:rFonts w:hint="eastAsia" w:ascii="Times New Roman" w:hAnsi="Times New Roman" w:eastAsia="仿宋_GB2312" w:cs="仿宋_GB2312"/>
          <w:spacing w:val="0"/>
          <w:w w:val="100"/>
          <w:kern w:val="2"/>
          <w:position w:val="0"/>
          <w:sz w:val="32"/>
          <w:szCs w:val="32"/>
          <w:shd w:val="clear"/>
          <w:lang w:eastAsia="zh-CN" w:bidi="ar-SA"/>
        </w:rPr>
        <w:t>1</w:t>
      </w:r>
      <w:bookmarkEnd w:id="6"/>
      <w:r>
        <w:rPr>
          <w:rFonts w:hint="eastAsia" w:ascii="Times New Roman" w:hAnsi="Times New Roman" w:eastAsia="仿宋_GB2312" w:cs="仿宋_GB2312"/>
          <w:spacing w:val="0"/>
          <w:w w:val="100"/>
          <w:kern w:val="2"/>
          <w:position w:val="0"/>
          <w:sz w:val="32"/>
          <w:szCs w:val="32"/>
          <w:shd w:val="clear"/>
          <w:lang w:eastAsia="zh-CN" w:bidi="ar-SA"/>
        </w:rPr>
        <w:t>、提交第二条所列的开户必备文件；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bookmarkStart w:id="7" w:name="bookmark37"/>
      <w:r>
        <w:rPr>
          <w:rFonts w:hint="eastAsia" w:ascii="Times New Roman" w:hAnsi="Times New Roman" w:eastAsia="仿宋_GB2312" w:cs="仿宋_GB2312"/>
          <w:spacing w:val="0"/>
          <w:w w:val="100"/>
          <w:kern w:val="2"/>
          <w:position w:val="0"/>
          <w:sz w:val="32"/>
          <w:szCs w:val="32"/>
          <w:shd w:val="clear"/>
          <w:lang w:eastAsia="zh-CN" w:bidi="ar-SA"/>
        </w:rPr>
        <w:t>2</w:t>
      </w:r>
      <w:bookmarkEnd w:id="7"/>
      <w:r>
        <w:rPr>
          <w:rFonts w:hint="eastAsia" w:ascii="Times New Roman" w:hAnsi="Times New Roman" w:eastAsia="仿宋_GB2312" w:cs="仿宋_GB2312"/>
          <w:spacing w:val="0"/>
          <w:w w:val="100"/>
          <w:kern w:val="2"/>
          <w:position w:val="0"/>
          <w:sz w:val="32"/>
          <w:szCs w:val="32"/>
          <w:shd w:val="clear"/>
          <w:lang w:eastAsia="zh-CN" w:bidi="ar-SA"/>
        </w:rPr>
        <w:t>、填写《粤港外币资金清算开户登记表》；</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bookmarkStart w:id="8" w:name="bookmark38"/>
      <w:r>
        <w:rPr>
          <w:rFonts w:hint="eastAsia" w:ascii="Times New Roman" w:hAnsi="Times New Roman" w:eastAsia="仿宋_GB2312" w:cs="仿宋_GB2312"/>
          <w:spacing w:val="0"/>
          <w:w w:val="100"/>
          <w:kern w:val="2"/>
          <w:position w:val="0"/>
          <w:sz w:val="32"/>
          <w:szCs w:val="32"/>
          <w:shd w:val="clear"/>
          <w:lang w:eastAsia="zh-CN" w:bidi="ar-SA"/>
        </w:rPr>
        <w:t>3</w:t>
      </w:r>
      <w:bookmarkEnd w:id="8"/>
      <w:r>
        <w:rPr>
          <w:rFonts w:hint="eastAsia" w:ascii="Times New Roman" w:hAnsi="Times New Roman" w:eastAsia="仿宋_GB2312" w:cs="仿宋_GB2312"/>
          <w:spacing w:val="0"/>
          <w:w w:val="100"/>
          <w:kern w:val="2"/>
          <w:position w:val="0"/>
          <w:sz w:val="32"/>
          <w:szCs w:val="32"/>
          <w:shd w:val="clear"/>
          <w:lang w:eastAsia="zh-CN" w:bidi="ar-SA"/>
        </w:rPr>
        <w:t>、预留有效签字样本或印章；</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bookmarkStart w:id="9" w:name="bookmark39"/>
      <w:r>
        <w:rPr>
          <w:rFonts w:hint="eastAsia" w:ascii="Times New Roman" w:hAnsi="Times New Roman" w:eastAsia="仿宋_GB2312" w:cs="仿宋_GB2312"/>
          <w:spacing w:val="0"/>
          <w:w w:val="100"/>
          <w:kern w:val="2"/>
          <w:position w:val="0"/>
          <w:sz w:val="32"/>
          <w:szCs w:val="32"/>
          <w:shd w:val="clear"/>
          <w:lang w:eastAsia="zh-CN" w:bidi="ar-SA"/>
        </w:rPr>
        <w:t>4</w:t>
      </w:r>
      <w:bookmarkEnd w:id="9"/>
      <w:r>
        <w:rPr>
          <w:rFonts w:hint="eastAsia" w:ascii="Times New Roman" w:hAnsi="Times New Roman" w:eastAsia="仿宋_GB2312" w:cs="仿宋_GB2312"/>
          <w:spacing w:val="0"/>
          <w:w w:val="100"/>
          <w:kern w:val="2"/>
          <w:position w:val="0"/>
          <w:sz w:val="32"/>
          <w:szCs w:val="32"/>
          <w:shd w:val="clear"/>
          <w:lang w:eastAsia="zh-CN" w:bidi="ar-SA"/>
        </w:rPr>
        <w:t>、密押员凭单位介绍信及身份证领取密押文件。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第四条 已开立清算账户的外汇指定银行（以下简称</w:t>
      </w:r>
      <w:r>
        <w:rPr>
          <w:rFonts w:hint="eastAsia" w:ascii="Times New Roman" w:hAnsi="Times New Roman" w:eastAsia="仿宋_GB2312" w:cs="仿宋_GB2312"/>
          <w:spacing w:val="0"/>
          <w:w w:val="100"/>
          <w:kern w:val="2"/>
          <w:position w:val="0"/>
          <w:sz w:val="32"/>
          <w:szCs w:val="32"/>
          <w:shd w:val="clear"/>
          <w:lang w:val="zh-CN" w:eastAsia="zh-CN" w:bidi="ar-SA"/>
        </w:rPr>
        <w:t>“清算</w:t>
      </w:r>
      <w:r>
        <w:rPr>
          <w:rFonts w:hint="eastAsia" w:ascii="Times New Roman" w:hAnsi="Times New Roman" w:eastAsia="仿宋_GB2312" w:cs="仿宋_GB2312"/>
          <w:spacing w:val="0"/>
          <w:w w:val="100"/>
          <w:kern w:val="2"/>
          <w:position w:val="0"/>
          <w:sz w:val="32"/>
          <w:szCs w:val="32"/>
          <w:shd w:val="clear"/>
          <w:lang w:eastAsia="zh-CN" w:bidi="ar-SA"/>
        </w:rPr>
        <w:t>行”）提入票据可按下列方式之一办理清算头寸汇出：</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bookmarkStart w:id="10" w:name="bookmark40"/>
      <w:r>
        <w:rPr>
          <w:rFonts w:hint="eastAsia" w:ascii="Times New Roman" w:hAnsi="Times New Roman" w:eastAsia="仿宋_GB2312" w:cs="仿宋_GB2312"/>
          <w:spacing w:val="0"/>
          <w:w w:val="100"/>
          <w:kern w:val="2"/>
          <w:position w:val="0"/>
          <w:sz w:val="32"/>
          <w:szCs w:val="32"/>
          <w:shd w:val="clear"/>
          <w:lang w:eastAsia="zh-CN" w:bidi="ar-SA"/>
        </w:rPr>
        <w:t>1</w:t>
      </w:r>
      <w:bookmarkEnd w:id="10"/>
      <w:r>
        <w:rPr>
          <w:rFonts w:hint="eastAsia" w:ascii="Times New Roman" w:hAnsi="Times New Roman" w:eastAsia="仿宋_GB2312" w:cs="仿宋_GB2312"/>
          <w:spacing w:val="0"/>
          <w:w w:val="100"/>
          <w:kern w:val="2"/>
          <w:position w:val="0"/>
          <w:sz w:val="32"/>
          <w:szCs w:val="32"/>
          <w:shd w:val="clear"/>
          <w:lang w:eastAsia="zh-CN" w:bidi="ar-SA"/>
        </w:rPr>
        <w:t>、电传委托汇款方式：清算行向外汇营业室外币清算组（以下简称</w:t>
      </w:r>
      <w:r>
        <w:rPr>
          <w:rFonts w:hint="eastAsia" w:ascii="Times New Roman" w:hAnsi="Times New Roman" w:eastAsia="仿宋_GB2312" w:cs="仿宋_GB2312"/>
          <w:spacing w:val="0"/>
          <w:w w:val="100"/>
          <w:kern w:val="2"/>
          <w:position w:val="0"/>
          <w:sz w:val="32"/>
          <w:szCs w:val="32"/>
          <w:shd w:val="clear"/>
          <w:lang w:val="zh-CN" w:eastAsia="zh-CN" w:bidi="ar-SA"/>
        </w:rPr>
        <w:t>“清算</w:t>
      </w:r>
      <w:r>
        <w:rPr>
          <w:rFonts w:hint="eastAsia" w:ascii="Times New Roman" w:hAnsi="Times New Roman" w:eastAsia="仿宋_GB2312" w:cs="仿宋_GB2312"/>
          <w:spacing w:val="0"/>
          <w:w w:val="100"/>
          <w:kern w:val="2"/>
          <w:position w:val="0"/>
          <w:sz w:val="32"/>
          <w:szCs w:val="32"/>
          <w:shd w:val="clear"/>
          <w:lang w:eastAsia="zh-CN" w:bidi="ar-SA"/>
        </w:rPr>
        <w:t>组”）发送已加押</w:t>
      </w:r>
      <w:r>
        <w:rPr>
          <w:rFonts w:hint="eastAsia" w:ascii="Times New Roman" w:hAnsi="Times New Roman" w:eastAsia="仿宋_GB2312" w:cs="仿宋_GB2312"/>
          <w:spacing w:val="0"/>
          <w:w w:val="100"/>
          <w:kern w:val="2"/>
          <w:position w:val="0"/>
          <w:sz w:val="32"/>
          <w:szCs w:val="32"/>
          <w:shd w:val="clear"/>
          <w:lang w:val="zh-CN" w:eastAsia="zh-CN" w:bidi="ar-SA"/>
        </w:rPr>
        <w:t>“请</w:t>
      </w:r>
      <w:r>
        <w:rPr>
          <w:rFonts w:hint="eastAsia" w:ascii="Times New Roman" w:hAnsi="Times New Roman" w:eastAsia="仿宋_GB2312" w:cs="仿宋_GB2312"/>
          <w:spacing w:val="0"/>
          <w:w w:val="100"/>
          <w:kern w:val="2"/>
          <w:position w:val="0"/>
          <w:sz w:val="32"/>
          <w:szCs w:val="32"/>
          <w:shd w:val="clear"/>
          <w:lang w:eastAsia="zh-CN" w:bidi="ar-SA"/>
        </w:rPr>
        <w:t>借记通知”电传単，清算组办理汇款后，向清算行发回</w:t>
      </w:r>
      <w:r>
        <w:rPr>
          <w:rFonts w:hint="eastAsia" w:ascii="Times New Roman" w:hAnsi="Times New Roman" w:eastAsia="仿宋_GB2312" w:cs="仿宋_GB2312"/>
          <w:spacing w:val="0"/>
          <w:w w:val="100"/>
          <w:kern w:val="2"/>
          <w:position w:val="0"/>
          <w:sz w:val="32"/>
          <w:szCs w:val="32"/>
          <w:shd w:val="clear"/>
          <w:lang w:val="zh-CN" w:eastAsia="zh-CN" w:bidi="ar-SA"/>
        </w:rPr>
        <w:t>“已借</w:t>
      </w:r>
      <w:r>
        <w:rPr>
          <w:rFonts w:hint="eastAsia" w:ascii="Times New Roman" w:hAnsi="Times New Roman" w:eastAsia="仿宋_GB2312" w:cs="仿宋_GB2312"/>
          <w:spacing w:val="0"/>
          <w:w w:val="100"/>
          <w:kern w:val="2"/>
          <w:position w:val="0"/>
          <w:sz w:val="32"/>
          <w:szCs w:val="32"/>
          <w:shd w:val="clear"/>
          <w:lang w:eastAsia="zh-CN" w:bidi="ar-SA"/>
        </w:rPr>
        <w:t>记通知</w:t>
      </w:r>
      <w:r>
        <w:rPr>
          <w:rFonts w:hint="default" w:ascii="Times New Roman" w:hAnsi="Times New Roman" w:eastAsia="仿宋_GB2312" w:cs="仿宋_GB2312"/>
          <w:spacing w:val="0"/>
          <w:w w:val="100"/>
          <w:kern w:val="2"/>
          <w:position w:val="0"/>
          <w:sz w:val="32"/>
          <w:szCs w:val="32"/>
          <w:shd w:val="clear"/>
          <w:lang w:val="en-US" w:eastAsia="zh-CN" w:bidi="ar-SA"/>
        </w:rPr>
        <w:t>”</w:t>
      </w:r>
      <w:r>
        <w:rPr>
          <w:rFonts w:hint="eastAsia" w:ascii="Times New Roman" w:hAnsi="Times New Roman" w:eastAsia="仿宋_GB2312" w:cs="仿宋_GB2312"/>
          <w:spacing w:val="0"/>
          <w:w w:val="100"/>
          <w:kern w:val="2"/>
          <w:position w:val="0"/>
          <w:sz w:val="32"/>
          <w:szCs w:val="32"/>
          <w:shd w:val="clear"/>
          <w:lang w:eastAsia="zh-CN" w:bidi="ar-SA"/>
        </w:rPr>
        <w:t>电传单。</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bookmarkStart w:id="11" w:name="bookmark41"/>
      <w:r>
        <w:rPr>
          <w:rFonts w:hint="eastAsia" w:ascii="Times New Roman" w:hAnsi="Times New Roman" w:eastAsia="仿宋_GB2312" w:cs="仿宋_GB2312"/>
          <w:spacing w:val="0"/>
          <w:w w:val="100"/>
          <w:kern w:val="2"/>
          <w:position w:val="0"/>
          <w:sz w:val="32"/>
          <w:szCs w:val="32"/>
          <w:shd w:val="clear"/>
          <w:lang w:eastAsia="zh-CN" w:bidi="ar-SA"/>
        </w:rPr>
        <w:t>2</w:t>
      </w:r>
      <w:bookmarkEnd w:id="11"/>
      <w:r>
        <w:rPr>
          <w:rFonts w:hint="eastAsia" w:ascii="Times New Roman" w:hAnsi="Times New Roman" w:eastAsia="仿宋_GB2312" w:cs="仿宋_GB2312"/>
          <w:spacing w:val="0"/>
          <w:w w:val="100"/>
          <w:kern w:val="2"/>
          <w:position w:val="0"/>
          <w:sz w:val="32"/>
          <w:szCs w:val="32"/>
          <w:shd w:val="clear"/>
          <w:lang w:eastAsia="zh-CN" w:bidi="ar-SA"/>
        </w:rPr>
        <w:t>、柜台委托汇款方式：清算行须填写《汇款申请书》一式二联，加盖预留有效签字印鉴，送清算组审核盖章后退回</w:t>
      </w:r>
      <w:r>
        <w:rPr>
          <w:rFonts w:hint="eastAsia" w:ascii="Times New Roman" w:hAnsi="Times New Roman" w:eastAsia="仿宋_GB2312" w:cs="仿宋_GB2312"/>
          <w:spacing w:val="0"/>
          <w:w w:val="100"/>
          <w:kern w:val="2"/>
          <w:position w:val="0"/>
          <w:sz w:val="32"/>
          <w:szCs w:val="32"/>
          <w:shd w:val="clear"/>
          <w:lang w:val="zh-CN" w:eastAsia="zh-CN" w:bidi="ar-SA"/>
        </w:rPr>
        <w:t>“客户</w:t>
      </w:r>
      <w:r>
        <w:rPr>
          <w:rFonts w:hint="eastAsia" w:ascii="Times New Roman" w:hAnsi="Times New Roman" w:eastAsia="仿宋_GB2312" w:cs="仿宋_GB2312"/>
          <w:spacing w:val="0"/>
          <w:w w:val="100"/>
          <w:kern w:val="2"/>
          <w:position w:val="0"/>
          <w:sz w:val="32"/>
          <w:szCs w:val="32"/>
          <w:shd w:val="clear"/>
          <w:lang w:eastAsia="zh-CN" w:bidi="ar-SA"/>
        </w:rPr>
        <w:t>联”。</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清算行电传委托调出头寸凭清算组发回的</w:t>
      </w:r>
      <w:r>
        <w:rPr>
          <w:rFonts w:hint="eastAsia" w:ascii="Times New Roman" w:hAnsi="Times New Roman" w:eastAsia="仿宋_GB2312" w:cs="仿宋_GB2312"/>
          <w:spacing w:val="0"/>
          <w:w w:val="100"/>
          <w:kern w:val="2"/>
          <w:position w:val="0"/>
          <w:sz w:val="32"/>
          <w:szCs w:val="32"/>
          <w:shd w:val="clear"/>
          <w:lang w:val="zh-CN" w:eastAsia="zh-CN" w:bidi="ar-SA"/>
        </w:rPr>
        <w:t>“已</w:t>
      </w:r>
      <w:r>
        <w:rPr>
          <w:rFonts w:hint="eastAsia" w:ascii="Times New Roman" w:hAnsi="Times New Roman" w:eastAsia="仿宋_GB2312" w:cs="仿宋_GB2312"/>
          <w:spacing w:val="0"/>
          <w:w w:val="100"/>
          <w:kern w:val="2"/>
          <w:position w:val="0"/>
          <w:sz w:val="32"/>
          <w:szCs w:val="32"/>
          <w:shd w:val="clear"/>
          <w:lang w:eastAsia="zh-CN" w:bidi="ar-SA"/>
        </w:rPr>
        <w:t>借记通知”电传单或人工送达的</w:t>
      </w:r>
      <w:r>
        <w:rPr>
          <w:rFonts w:hint="eastAsia" w:ascii="Times New Roman" w:hAnsi="Times New Roman" w:eastAsia="仿宋_GB2312" w:cs="仿宋_GB2312"/>
          <w:spacing w:val="0"/>
          <w:w w:val="100"/>
          <w:kern w:val="2"/>
          <w:position w:val="0"/>
          <w:sz w:val="32"/>
          <w:szCs w:val="32"/>
          <w:shd w:val="clear"/>
          <w:lang w:val="zh-CN" w:eastAsia="zh-CN" w:bidi="ar-SA"/>
        </w:rPr>
        <w:t>“已</w:t>
      </w:r>
      <w:r>
        <w:rPr>
          <w:rFonts w:hint="eastAsia" w:ascii="Times New Roman" w:hAnsi="Times New Roman" w:eastAsia="仿宋_GB2312" w:cs="仿宋_GB2312"/>
          <w:spacing w:val="0"/>
          <w:w w:val="100"/>
          <w:kern w:val="2"/>
          <w:position w:val="0"/>
          <w:sz w:val="32"/>
          <w:szCs w:val="32"/>
          <w:shd w:val="clear"/>
          <w:lang w:eastAsia="zh-CN" w:bidi="ar-SA"/>
        </w:rPr>
        <w:t>借记通知单”办理账务处理；清算行柜台委托调出头寸凭清算组退回的《汇款申请书》</w:t>
      </w:r>
      <w:r>
        <w:rPr>
          <w:rFonts w:hint="eastAsia" w:ascii="Times New Roman" w:hAnsi="Times New Roman" w:eastAsia="仿宋_GB2312" w:cs="仿宋_GB2312"/>
          <w:spacing w:val="0"/>
          <w:w w:val="100"/>
          <w:kern w:val="2"/>
          <w:position w:val="0"/>
          <w:sz w:val="32"/>
          <w:szCs w:val="32"/>
          <w:shd w:val="clear"/>
          <w:lang w:val="zh-CN" w:eastAsia="zh-CN" w:bidi="ar-SA"/>
        </w:rPr>
        <w:t>“客</w:t>
      </w:r>
      <w:r>
        <w:rPr>
          <w:rFonts w:hint="eastAsia" w:ascii="Times New Roman" w:hAnsi="Times New Roman" w:eastAsia="仿宋_GB2312" w:cs="仿宋_GB2312"/>
          <w:spacing w:val="0"/>
          <w:w w:val="100"/>
          <w:kern w:val="2"/>
          <w:position w:val="0"/>
          <w:sz w:val="32"/>
          <w:szCs w:val="32"/>
          <w:shd w:val="clear"/>
          <w:lang w:eastAsia="zh-CN" w:bidi="ar-SA"/>
        </w:rPr>
        <w:t>户联”办理账务</w:t>
      </w:r>
      <w:bookmarkStart w:id="12" w:name="_GoBack"/>
      <w:bookmarkEnd w:id="12"/>
      <w:r>
        <w:rPr>
          <w:rFonts w:hint="eastAsia" w:ascii="Times New Roman" w:hAnsi="Times New Roman" w:eastAsia="仿宋_GB2312" w:cs="仿宋_GB2312"/>
          <w:spacing w:val="0"/>
          <w:w w:val="100"/>
          <w:kern w:val="2"/>
          <w:position w:val="0"/>
          <w:sz w:val="32"/>
          <w:szCs w:val="32"/>
          <w:shd w:val="clear"/>
          <w:lang w:eastAsia="zh-CN" w:bidi="ar-SA"/>
        </w:rPr>
        <w:t>处理。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第五条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清算行之间的款项划拨参照第四条所列两种方式办理。清算组办妥资金调拨后，向收账的清算行发送加押的</w:t>
      </w:r>
      <w:r>
        <w:rPr>
          <w:rFonts w:hint="eastAsia" w:ascii="Times New Roman" w:hAnsi="Times New Roman" w:eastAsia="仿宋_GB2312" w:cs="仿宋_GB2312"/>
          <w:spacing w:val="0"/>
          <w:w w:val="100"/>
          <w:kern w:val="2"/>
          <w:position w:val="0"/>
          <w:sz w:val="32"/>
          <w:szCs w:val="32"/>
          <w:shd w:val="clear"/>
          <w:lang w:val="zh-CN" w:eastAsia="zh-CN" w:bidi="ar-SA"/>
        </w:rPr>
        <w:t>“已贷</w:t>
      </w:r>
      <w:r>
        <w:rPr>
          <w:rFonts w:hint="eastAsia" w:ascii="Times New Roman" w:hAnsi="Times New Roman" w:eastAsia="仿宋_GB2312" w:cs="仿宋_GB2312"/>
          <w:spacing w:val="0"/>
          <w:w w:val="100"/>
          <w:kern w:val="2"/>
          <w:position w:val="0"/>
          <w:sz w:val="32"/>
          <w:szCs w:val="32"/>
          <w:shd w:val="clear"/>
          <w:lang w:eastAsia="zh-CN" w:bidi="ar-SA"/>
        </w:rPr>
        <w:t>记通知”电传单，收账行凭此电传单办理账务处理。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第六条 清算组受理委托汇款截止时间为清算日14时前，截止时间后收到的委托汇款起息日为下一个工作日。</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第七条 清算行办理头寸汇入应在清算日下午14时前将款项划入国家外汇管理局广东省分局在中国银行（香港）有限公司（以下简称</w:t>
      </w:r>
      <w:r>
        <w:rPr>
          <w:rFonts w:hint="eastAsia" w:ascii="Times New Roman" w:hAnsi="Times New Roman" w:eastAsia="仿宋_GB2312" w:cs="仿宋_GB2312"/>
          <w:spacing w:val="0"/>
          <w:w w:val="100"/>
          <w:kern w:val="2"/>
          <w:position w:val="0"/>
          <w:sz w:val="32"/>
          <w:szCs w:val="32"/>
          <w:shd w:val="clear"/>
          <w:lang w:val="zh-CN" w:eastAsia="zh-CN" w:bidi="ar-SA"/>
        </w:rPr>
        <w:t>“港</w:t>
      </w:r>
      <w:r>
        <w:rPr>
          <w:rFonts w:hint="eastAsia" w:ascii="Times New Roman" w:hAnsi="Times New Roman" w:eastAsia="仿宋_GB2312" w:cs="仿宋_GB2312"/>
          <w:spacing w:val="0"/>
          <w:w w:val="100"/>
          <w:kern w:val="2"/>
          <w:position w:val="0"/>
          <w:sz w:val="32"/>
          <w:szCs w:val="32"/>
          <w:shd w:val="clear"/>
          <w:lang w:eastAsia="zh-CN" w:bidi="ar-SA"/>
        </w:rPr>
        <w:t>中行</w:t>
      </w:r>
      <w:r>
        <w:rPr>
          <w:rFonts w:hint="eastAsia" w:ascii="Times New Roman" w:hAnsi="Times New Roman" w:eastAsia="仿宋_GB2312" w:cs="仿宋_GB2312"/>
          <w:spacing w:val="0"/>
          <w:w w:val="100"/>
          <w:kern w:val="2"/>
          <w:position w:val="0"/>
          <w:sz w:val="32"/>
          <w:szCs w:val="32"/>
          <w:shd w:val="clear"/>
          <w:lang w:val="en-US" w:eastAsia="en-US" w:bidi="ar-SA"/>
        </w:rPr>
        <w:t>"）</w:t>
      </w:r>
      <w:r>
        <w:rPr>
          <w:rFonts w:hint="eastAsia" w:ascii="Times New Roman" w:hAnsi="Times New Roman" w:eastAsia="仿宋_GB2312" w:cs="仿宋_GB2312"/>
          <w:spacing w:val="0"/>
          <w:w w:val="100"/>
          <w:kern w:val="2"/>
          <w:position w:val="0"/>
          <w:sz w:val="32"/>
          <w:szCs w:val="32"/>
          <w:shd w:val="clear"/>
          <w:lang w:eastAsia="zh-CN" w:bidi="ar-SA"/>
        </w:rPr>
        <w:t>开立的账户（港元01287560104023户、美元01287560107899户），并通知清算组。清算组收妥划入款后向清算行发送《入账通知单》，清算行凭《入账通知单》办理账务处理。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第八条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粤港外币资金清算采取轧差方式进行。清算行凭广州市电子结算中心的《中国人民银行资金划拨凭证》、《粤港实时支付系统轧差借方传票》或《粤港实时支付系统轧差贷方传票》办理账务处理。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第九条 每月末最后一个工作日，清算组凭港中行的扣收手续费清单，向各清算行清算，各清算行凭清算组的《付帐通知单》办理账务处理。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第十条 清算行在其清算账户中须预留不低于50万港元或</w:t>
      </w:r>
      <w:r>
        <w:rPr>
          <w:rFonts w:hint="eastAsia" w:ascii="Times New Roman" w:hAnsi="Times New Roman" w:eastAsia="仿宋_GB2312" w:cs="仿宋_GB2312"/>
          <w:spacing w:val="0"/>
          <w:w w:val="100"/>
          <w:kern w:val="2"/>
          <w:position w:val="0"/>
          <w:sz w:val="32"/>
          <w:szCs w:val="32"/>
          <w:shd w:val="clear"/>
          <w:lang w:val="zh-CN" w:eastAsia="zh-CN" w:bidi="ar-SA"/>
        </w:rPr>
        <w:t>5</w:t>
      </w:r>
      <w:r>
        <w:rPr>
          <w:rFonts w:hint="eastAsia" w:ascii="Times New Roman" w:hAnsi="Times New Roman" w:eastAsia="仿宋_GB2312" w:cs="仿宋_GB2312"/>
          <w:spacing w:val="0"/>
          <w:w w:val="100"/>
          <w:kern w:val="2"/>
          <w:position w:val="0"/>
          <w:sz w:val="32"/>
          <w:szCs w:val="32"/>
          <w:shd w:val="clear"/>
          <w:lang w:eastAsia="zh-CN" w:bidi="ar-SA"/>
        </w:rPr>
        <w:t>万美元的账户余额，不足时应立即补足差额资金。该预留资金只可用于清算头寸的临</w:t>
      </w:r>
      <w:r>
        <w:rPr>
          <w:rFonts w:hint="eastAsia" w:ascii="Times New Roman" w:hAnsi="Times New Roman" w:eastAsia="仿宋_GB2312" w:cs="仿宋_GB2312"/>
          <w:spacing w:val="0"/>
          <w:w w:val="100"/>
          <w:kern w:val="2"/>
          <w:position w:val="0"/>
          <w:sz w:val="32"/>
          <w:szCs w:val="32"/>
          <w:shd w:val="clear"/>
          <w:lang w:val="zh-CN" w:eastAsia="zh-CN" w:bidi="ar-SA"/>
        </w:rPr>
        <w:t>时性</w:t>
      </w:r>
      <w:r>
        <w:rPr>
          <w:rFonts w:hint="eastAsia" w:ascii="Times New Roman" w:hAnsi="Times New Roman" w:eastAsia="仿宋_GB2312" w:cs="仿宋_GB2312"/>
          <w:spacing w:val="0"/>
          <w:w w:val="100"/>
          <w:kern w:val="2"/>
          <w:position w:val="0"/>
          <w:sz w:val="32"/>
          <w:szCs w:val="32"/>
          <w:shd w:val="clear"/>
          <w:lang w:eastAsia="zh-CN" w:bidi="ar-SA"/>
        </w:rPr>
        <w:t>弥补。</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第十一条 清算行清算账户如出现透支，清算组将按</w:t>
      </w:r>
      <w:r>
        <w:rPr>
          <w:rFonts w:hint="eastAsia" w:ascii="Times New Roman" w:hAnsi="Times New Roman" w:eastAsia="仿宋_GB2312" w:cs="仿宋_GB2312"/>
          <w:spacing w:val="0"/>
          <w:w w:val="100"/>
          <w:kern w:val="2"/>
          <w:position w:val="0"/>
          <w:sz w:val="32"/>
          <w:szCs w:val="32"/>
          <w:shd w:val="clear"/>
          <w:lang w:val="en-US" w:eastAsia="en-US" w:bidi="ar-SA"/>
        </w:rPr>
        <w:t>LIB0R</w:t>
      </w:r>
      <w:r>
        <w:rPr>
          <w:rFonts w:hint="eastAsia" w:ascii="Times New Roman" w:hAnsi="Times New Roman" w:eastAsia="仿宋_GB2312" w:cs="仿宋_GB2312"/>
          <w:spacing w:val="0"/>
          <w:w w:val="100"/>
          <w:kern w:val="2"/>
          <w:position w:val="0"/>
          <w:sz w:val="32"/>
          <w:szCs w:val="32"/>
          <w:shd w:val="clear"/>
          <w:lang w:val="en-US" w:eastAsia="zh-CN" w:bidi="ar-SA"/>
        </w:rPr>
        <w:t>+</w:t>
      </w:r>
      <w:r>
        <w:rPr>
          <w:rFonts w:hint="eastAsia" w:ascii="Times New Roman" w:hAnsi="Times New Roman" w:eastAsia="仿宋_GB2312" w:cs="仿宋_GB2312"/>
          <w:spacing w:val="0"/>
          <w:w w:val="100"/>
          <w:kern w:val="2"/>
          <w:position w:val="0"/>
          <w:sz w:val="32"/>
          <w:szCs w:val="32"/>
          <w:shd w:val="clear"/>
          <w:lang w:val="en-US" w:eastAsia="en-US" w:bidi="ar-SA"/>
        </w:rPr>
        <w:t>4%</w:t>
      </w:r>
      <w:r>
        <w:rPr>
          <w:rFonts w:hint="eastAsia" w:ascii="Times New Roman" w:hAnsi="Times New Roman" w:eastAsia="仿宋_GB2312" w:cs="仿宋_GB2312"/>
          <w:spacing w:val="0"/>
          <w:w w:val="100"/>
          <w:kern w:val="2"/>
          <w:position w:val="0"/>
          <w:sz w:val="32"/>
          <w:szCs w:val="32"/>
          <w:shd w:val="clear"/>
          <w:lang w:eastAsia="zh-CN" w:bidi="ar-SA"/>
        </w:rPr>
        <w:t>计收罚息，并有权通知广州市银行电子结算中心暂停其粤港外币票据交换业务及粤港实时支付系统业务。</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第十二条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清算行账户结息凭清算组的《利息单》办理账务处理；支付罚息凭清算组的《罚息单》办理账务处理。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第十三条 清算组每月初五个工作日内寄发对账单给清算行对账，对账单为一式二联（一联为留底联、一联为确认联）。各清算行收到对账单核对无误后，要在五个工作日内在确认联上加 盖业务章退回清算组，如发现对账不相符即与清算组联系查核。</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第十四条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清算行办理销户，须提交国家外汇管理局广东省 分局批准销户文件和销户申请函，清算组方办理销户手续。</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第十五条</w:t>
      </w:r>
      <w:r>
        <w:rPr>
          <w:rFonts w:hint="eastAsia" w:ascii="Times New Roman" w:hAnsi="Times New Roman" w:eastAsia="仿宋_GB2312" w:cs="仿宋_GB2312"/>
          <w:spacing w:val="0"/>
          <w:w w:val="100"/>
          <w:kern w:val="2"/>
          <w:position w:val="0"/>
          <w:sz w:val="32"/>
          <w:szCs w:val="32"/>
          <w:shd w:val="clear"/>
          <w:lang w:val="en-US" w:eastAsia="zh-CN" w:bidi="ar-SA"/>
        </w:rPr>
        <w:t xml:space="preserve"> </w:t>
      </w:r>
      <w:r>
        <w:rPr>
          <w:rFonts w:hint="eastAsia" w:ascii="Times New Roman" w:hAnsi="Times New Roman" w:eastAsia="仿宋_GB2312" w:cs="仿宋_GB2312"/>
          <w:spacing w:val="0"/>
          <w:w w:val="100"/>
          <w:kern w:val="2"/>
          <w:position w:val="0"/>
          <w:sz w:val="32"/>
          <w:szCs w:val="32"/>
          <w:shd w:val="clear"/>
          <w:lang w:eastAsia="zh-CN" w:bidi="ar-SA"/>
        </w:rPr>
        <w:t>本细则由国家外汇管理局广东省分局负责解释和修改。</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ascii="Times New Roman" w:hAnsi="Times New Roman"/>
        </w:rPr>
      </w:pPr>
      <w:r>
        <w:rPr>
          <w:rFonts w:hint="eastAsia" w:ascii="Times New Roman" w:hAnsi="Times New Roman" w:eastAsia="仿宋_GB2312" w:cs="仿宋_GB2312"/>
          <w:spacing w:val="0"/>
          <w:w w:val="100"/>
          <w:kern w:val="2"/>
          <w:position w:val="0"/>
          <w:sz w:val="32"/>
          <w:szCs w:val="32"/>
          <w:shd w:val="clear"/>
          <w:lang w:eastAsia="zh-CN" w:bidi="ar-SA"/>
        </w:rPr>
        <w:t>第十六条 本细则自二00四年三月十五日起施行。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01209F55-6CFB-4E73-B039-2E1455CBE509}"/>
  </w:font>
  <w:font w:name="方正小标宋_GBK">
    <w:panose1 w:val="02000000000000000000"/>
    <w:charset w:val="86"/>
    <w:family w:val="auto"/>
    <w:pitch w:val="default"/>
    <w:sig w:usb0="A00002BF" w:usb1="38CF7CFA" w:usb2="00082016" w:usb3="00000000" w:csb0="00040001" w:csb1="00000000"/>
    <w:embedRegular r:id="rId2" w:fontKey="{158A94AF-5923-46E7-B992-18F2A1E41851}"/>
  </w:font>
  <w:font w:name="仿宋_GB2312">
    <w:altName w:val="仿宋"/>
    <w:panose1 w:val="00000000000000000000"/>
    <w:charset w:val="00"/>
    <w:family w:val="auto"/>
    <w:pitch w:val="default"/>
    <w:sig w:usb0="00000000" w:usb1="00000000" w:usb2="00000000" w:usb3="00000000" w:csb0="00000000" w:csb1="00000000"/>
    <w:embedRegular r:id="rId3" w:fontKey="{D254DFDC-F0CB-434A-932F-1C0FF792564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mc:AlternateContent>
        <mc:Choice Requires="wps">
          <w:drawing>
            <wp:anchor distT="0" distB="0" distL="114300" distR="114300" simplePos="0" relativeHeight="251659264" behindDoc="1" locked="0" layoutInCell="1" allowOverlap="1">
              <wp:simplePos x="0" y="0"/>
              <wp:positionH relativeFrom="page">
                <wp:posOffset>5927725</wp:posOffset>
              </wp:positionH>
              <wp:positionV relativeFrom="page">
                <wp:posOffset>9448165</wp:posOffset>
              </wp:positionV>
              <wp:extent cx="115570" cy="103505"/>
              <wp:effectExtent l="0" t="0" r="0" b="0"/>
              <wp:wrapNone/>
              <wp:docPr id="4" name="矩形 4"/>
              <wp:cNvGraphicFramePr/>
              <a:graphic xmlns:a="http://schemas.openxmlformats.org/drawingml/2006/main">
                <a:graphicData uri="http://schemas.microsoft.com/office/word/2010/wordprocessingShape">
                  <wps:wsp>
                    <wps:cNvSpPr/>
                    <wps:spPr>
                      <a:xfrm>
                        <a:off x="0" y="0"/>
                        <a:ext cx="115570" cy="103505"/>
                      </a:xfrm>
                      <a:prstGeom prst="rect">
                        <a:avLst/>
                      </a:prstGeom>
                      <a:noFill/>
                      <a:ln>
                        <a:noFill/>
                      </a:ln>
                    </wps:spPr>
                    <wps:txbx>
                      <w:txbxContent>
                        <w:p>
                          <w:pPr>
                            <w:pStyle w:val="7"/>
                            <w:widowControl w:val="0"/>
                            <w:shd w:val="clear" w:color="auto" w:fill="auto"/>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left:466.75pt;margin-top:743.95pt;height:8.15pt;width:9.1pt;mso-position-horizontal-relative:page;mso-position-vertical-relative:page;mso-wrap-style:none;z-index:-251657216;mso-width-relative:page;mso-height-relative:page;" filled="f" stroked="f" coordsize="21600,21600" o:gfxdata="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66GctoAAAANAQAADwAAAAAAAAABACAAAAAiAAAAZHJzL2Rvd25y&#10;ZXYueG1sUEsBAhQAFAAAAAgAh07iQLdNjpzDAQAAigMAAA4AAAAAAAAAAQAgAAAAKQEAAGRycy9l&#10;Mm9Eb2MueG1sUEsFBgAAAAAGAAYAWQEAAF4FAAAAAA==&#10;">
              <v:fill on="f" focussize="0,0"/>
              <v:stroke on="f"/>
              <v:imagedata o:title=""/>
              <o:lock v:ext="edit" aspectratio="f"/>
              <v:textbox inset="0mm,0mm,0mm,0mm" style="mso-fit-shape-to-text:t;">
                <w:txbxContent>
                  <w:p>
                    <w:pPr>
                      <w:pStyle w:val="7"/>
                      <w:widowControl w:val="0"/>
                      <w:shd w:val="clear" w:color="auto" w:fill="auto"/>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YmFiMDRhMjczMGI5MjA1ZjFlNTgxZDc0Y2IwYjEifQ=="/>
  </w:docVars>
  <w:rsids>
    <w:rsidRoot w:val="65CA30FD"/>
    <w:rsid w:val="55676C2B"/>
    <w:rsid w:val="56E03A17"/>
    <w:rsid w:val="65CA3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hd w:val="clear" w:color="auto" w:fill="auto"/>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5">
    <w:name w:val="Heading #2|1"/>
    <w:basedOn w:val="1"/>
    <w:qFormat/>
    <w:uiPriority w:val="0"/>
    <w:pPr>
      <w:widowControl w:val="0"/>
      <w:shd w:val="clear" w:color="auto" w:fill="auto"/>
      <w:spacing w:after="530"/>
      <w:jc w:val="center"/>
      <w:outlineLvl w:val="1"/>
    </w:pPr>
    <w:rPr>
      <w:rFonts w:ascii="宋体" w:hAnsi="宋体" w:eastAsia="宋体" w:cs="宋体"/>
      <w:sz w:val="40"/>
      <w:szCs w:val="40"/>
      <w:u w:val="none"/>
      <w:shd w:val="clear" w:color="auto" w:fill="auto"/>
      <w:lang w:val="zh-TW" w:eastAsia="zh-TW" w:bidi="zh-TW"/>
    </w:rPr>
  </w:style>
  <w:style w:type="paragraph" w:customStyle="1" w:styleId="6">
    <w:name w:val="Body text|4"/>
    <w:basedOn w:val="1"/>
    <w:qFormat/>
    <w:uiPriority w:val="0"/>
    <w:pPr>
      <w:widowControl w:val="0"/>
      <w:shd w:val="clear" w:color="auto" w:fill="auto"/>
      <w:ind w:right="160"/>
      <w:jc w:val="right"/>
    </w:pPr>
    <w:rPr>
      <w:sz w:val="22"/>
      <w:szCs w:val="22"/>
      <w:u w:val="none"/>
      <w:shd w:val="clear" w:color="auto" w:fill="auto"/>
      <w:lang w:val="zh-TW" w:eastAsia="zh-TW" w:bidi="zh-TW"/>
    </w:rPr>
  </w:style>
  <w:style w:type="paragraph" w:customStyle="1" w:styleId="7">
    <w:name w:val="Header or footer|1"/>
    <w:basedOn w:val="1"/>
    <w:qFormat/>
    <w:uiPriority w:val="0"/>
    <w:pPr>
      <w:widowControl w:val="0"/>
      <w:shd w:val="clear" w:color="auto" w:fill="auto"/>
    </w:pPr>
    <w:rPr>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2023-08-21T09:22:00Z</dcterms:created>
  <dc:creator>君临</dc:creator>
  <cp:lastModifiedBy>君临</cp:lastModifiedBy>
  <dcterms:modified xsi:type="dcterms:W3CDTF">2023-08-21T09:50:26Z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34C6882D921D49F6A96752597C4A3342_11</vt:lpwstr>
  </property>
</Properties>
</file>