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方正小标宋_GBK" w:cs="方正小标宋_GBK"/>
          <w:spacing w:val="0"/>
          <w:w w:val="100"/>
          <w:kern w:val="2"/>
          <w:position w:val="0"/>
          <w:sz w:val="36"/>
          <w:szCs w:val="36"/>
          <w:shd w:val="clear"/>
          <w:lang w:eastAsia="zh-CN" w:bidi="ar-SA"/>
        </w:rPr>
      </w:pPr>
      <w:r>
        <w:rPr>
          <w:rFonts w:hint="eastAsia" w:ascii="Times New Roman" w:hAnsi="Times New Roman" w:eastAsia="方正小标宋_GBK" w:cs="方正小标宋_GBK"/>
          <w:spacing w:val="0"/>
          <w:w w:val="100"/>
          <w:kern w:val="2"/>
          <w:position w:val="0"/>
          <w:sz w:val="36"/>
          <w:szCs w:val="36"/>
          <w:shd w:val="clear"/>
          <w:lang w:eastAsia="zh-CN" w:bidi="ar-SA"/>
        </w:rPr>
        <w:t>附件</w:t>
      </w:r>
      <w:r>
        <w:rPr>
          <w:rFonts w:hint="eastAsia" w:ascii="Times New Roman" w:hAnsi="Times New Roman" w:eastAsia="方正小标宋_GBK" w:cs="方正小标宋_GBK"/>
          <w:spacing w:val="0"/>
          <w:w w:val="100"/>
          <w:kern w:val="2"/>
          <w:position w:val="0"/>
          <w:sz w:val="36"/>
          <w:szCs w:val="36"/>
          <w:shd w:val="clear"/>
          <w:lang w:val="zh-CN" w:eastAsia="zh-CN" w:bidi="ar-SA"/>
        </w:rPr>
        <w:t>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spacing w:val="0"/>
          <w:w w:val="100"/>
          <w:kern w:val="2"/>
          <w:position w:val="0"/>
          <w:sz w:val="36"/>
          <w:szCs w:val="36"/>
          <w:shd w:val="clear"/>
          <w:lang w:eastAsia="zh-CN" w:bidi="ar-SA"/>
        </w:rPr>
      </w:pPr>
      <w:bookmarkStart w:id="0" w:name="bookmark43"/>
      <w:bookmarkStart w:id="1" w:name="bookmark44"/>
      <w:bookmarkStart w:id="2" w:name="bookmark42"/>
      <w:bookmarkStart w:id="20" w:name="_GoBack"/>
      <w:r>
        <w:rPr>
          <w:rFonts w:hint="eastAsia" w:ascii="Times New Roman" w:hAnsi="Times New Roman" w:eastAsia="方正小标宋_GBK" w:cs="方正小标宋_GBK"/>
          <w:spacing w:val="0"/>
          <w:w w:val="100"/>
          <w:kern w:val="2"/>
          <w:position w:val="0"/>
          <w:sz w:val="36"/>
          <w:szCs w:val="36"/>
          <w:shd w:val="clear"/>
          <w:lang w:eastAsia="zh-CN" w:bidi="ar-SA"/>
        </w:rPr>
        <w:t>粤港外币实时支付系统业务流程</w:t>
      </w:r>
      <w:bookmarkEnd w:id="0"/>
      <w:bookmarkEnd w:id="1"/>
      <w:bookmarkEnd w:id="2"/>
    </w:p>
    <w:bookmarkEnd w:id="2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方正小标宋_GBK"/>
          <w:spacing w:val="0"/>
          <w:w w:val="100"/>
          <w:kern w:val="2"/>
          <w:position w:val="0"/>
          <w:sz w:val="36"/>
          <w:szCs w:val="36"/>
          <w:shd w:val="clear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3" w:name="bookmark45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一</w:t>
      </w:r>
      <w:bookmarkEnd w:id="3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、业务处理流程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4" w:name="bookmark46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（</w:t>
      </w:r>
      <w:bookmarkEnd w:id="4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一）发起行（粤方）的处理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发起行根据开户単位送交的汇兑业务凭证，按规定审核无误后进行账务处理。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经账务处理后，操作员根据汇兑凭证进行数据录入，将纸凭证支付信息转换成符合规定格式标准的电子支付信息。录入计算机的电子支付信息，经复核无误后，通过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系统通道发往广州外币实时支付系统（以下简称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系统），并接收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系统发回的确认信息。凭已发报后的纸凭证作为本行查询查复的原始依据。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每日营业终了，与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中心核对当日发往香港的外币贷记业务总笔数及总金额，核对无误后，填制转账传票作账务处理；如发现不符，先以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系统的数据为准作账务处理，然后向结算中心索取清单进行勾对。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5" w:name="bookmark47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（</w:t>
      </w:r>
      <w:bookmarkEnd w:id="5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二）广州结算中心的处理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6" w:name="bookmark48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1</w:t>
      </w:r>
      <w:bookmarkEnd w:id="6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、往账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系统收到发起行传送过来的往账电子支付信息，系统自动检查电文格式，如电文格式正确，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向外管局发出扣账信息，扣减发起行在外管局开设的清算账户资金，扣款成功后向发起行发回确认信息，然后对发起行发来的支付信息进行加密，通过中国银行（香港）有限公司（以下简称港方代理行）发送到香港同业结算有限公司的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RTGS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系统进行处理。如发现发起行发出的电文格式错误，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系统将拒收；若账户余额不足,外管局将拒绝清算并通过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系统返回拒绝清算通知。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7" w:name="bookmark49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2</w:t>
      </w:r>
      <w:bookmarkEnd w:id="7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、来账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系统收到港方代理行发来的电子支付信息，系统将自动解密和检查电文格式，如密押和电文格式正确，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系统将向港方代理行发回确认信息，同时向外管局发出入账信息，计入接收行在外管局开设的清算账户，然后再将支付信息转发给接收行。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8" w:name="bookmark50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3</w:t>
      </w:r>
      <w:bookmarkEnd w:id="8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、日终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负责与外管局和代理行进行对账，核对相符后，向商业银行（粤方）发送对账信息，并将当日轧差数据传送到外管局进行资金清算，打印一式二联的轧差凭证，第一联送外管局，第二联加盖有关印章通过票据交换送给各商业银行（粤方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9" w:name="bookmark51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（</w:t>
      </w:r>
      <w:bookmarkEnd w:id="9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三）接收行（粤方）的处理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接收行收到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系统转来的电子支付信息后，系统将自动向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系统发回确认信息。并对来账信息按有关规定进行审核后作账务处理，打印出一式二联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zh-CN" w:eastAsia="zh-CN" w:bidi="ar-SA"/>
        </w:rPr>
        <w:t>“补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充报单”，第一联作贷方传票，第二联加盖转讫章后交收款人做收账通知。如来账信息有误要退汇时，须按系统的格式要求作退汇处理。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每日营业终了，与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系统核对当日接收业务的总笔数及总金额，核对无误后，填制转账传票作账务处理。如发现不符，先以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系统的数据作账务处理，后向结算中心索取清单进行勾对。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0" w:name="bookmark52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二</w:t>
      </w:r>
      <w:bookmarkEnd w:id="10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、异常情况处理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1" w:name="bookmark53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（</w:t>
      </w:r>
      <w:bookmarkEnd w:id="11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一）往账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2" w:name="bookmark54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1</w:t>
      </w:r>
      <w:bookmarkEnd w:id="12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、若遇到香港的节假日或者台风等情况，港方代理行系统中断连接时，则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系统拒收发起行发来的往账信息。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3" w:name="bookmark55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2</w:t>
      </w:r>
      <w:bookmarkEnd w:id="13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系统收到发起行发来的往账信息转发到外管局进行扣账处理时，如发生网络故障无法进行清算，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系统将拒收该笔往账业务，并发回拒收信息给发起行。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4" w:name="bookmark56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3</w:t>
      </w:r>
      <w:bookmarkEnd w:id="14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系统收到发起行发来的往账业务并已成功清算，但由于中心与发起行的通讯出现故障，发起行无法收到中心的确认信息时，发起行可通过电话查询结算中心进行确认，或在当日日终处理后收到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系统发出的对账信息进行确认信息数据，经确认确无发出时，才能重新发起该笔业务。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5" w:name="bookmark57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4</w:t>
      </w:r>
      <w:bookmarkEnd w:id="15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中心收到发起行发来的往账业务并已成功清算，但由于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系统故障或与港方代理行的通讯故障，交易信息无法转发给香港，或者该笔业务被香港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RTGS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系统拒绝清算时，中心在日终将打印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zh-CN" w:eastAsia="zh-CN" w:bidi="ar-SA"/>
        </w:rPr>
        <w:t>“银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行往账退回清单”或用磁盘读出数据给发起行冲账，并手工填制轧差凭证传送到外管局作账务处理；发起行根据中心提供的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zh-CN" w:eastAsia="zh-CN" w:bidi="ar-SA"/>
        </w:rPr>
        <w:t>“银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行往账退回清单”或磁盘上的数据进行冲账处理。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6" w:name="bookmark58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（</w:t>
      </w:r>
      <w:bookmarkEnd w:id="16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二）来账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1、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系统接收到代理行来账业务并返回确认信息后，但由于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系统故障或与外管局通讯故障，交易停留在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系统上无法转发接收行时，日终结算中心打印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zh-CN" w:eastAsia="zh-CN" w:bidi="ar-SA"/>
        </w:rPr>
        <w:t>“银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行待收来账清单”或用磁盘读出数据给接收行，并手工填制轧差凭证传送到外管局作账务处理；接收行根据中心提供的“银行待收来账清单”或磁盘上的数据进行账务处理。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7" w:name="bookmark59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zh-CN" w:eastAsia="zh-CN" w:bidi="ar-SA"/>
        </w:rPr>
        <w:t>2</w:t>
      </w:r>
      <w:bookmarkEnd w:id="17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zh-CN" w:eastAsia="zh-CN" w:bidi="ar-SA"/>
        </w:rPr>
        <w:t>、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系统接收到代理行的来账业务并已成功清算，但由于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系统与接收行的通讯出现故障，交易无法转发给接收行时，日终中心打印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zh-CN" w:eastAsia="zh-CN" w:bidi="ar-SA"/>
        </w:rPr>
        <w:t>“银行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待收来账清单”或用磁盘读出数据交给接收行进行账务处理。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8" w:name="bookmark60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3</w:t>
      </w:r>
      <w:bookmarkEnd w:id="18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系统收到代理行来账业务已成功清算，并已转发给接收行，但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系统到日终前仍未收到接收行的确认信息时，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系统视同已到达接收行；接收行在收到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EFT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系统的日终对账数时发现不符，可先以中心数据为准作账务处理，再要求结算中心打印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zh-CN" w:eastAsia="zh-CN" w:bidi="ar-SA"/>
        </w:rPr>
        <w:t>“银行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待确认清单”进行勾对并作账务处理。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bookmarkStart w:id="19" w:name="bookmark61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三</w:t>
      </w:r>
      <w:bookmarkEnd w:id="19"/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、系统运行时间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按广州和香港法定的工作日为系统运行日（如遇香港悬挂八号台风或黑色警告信号外），每个工作日的系统营业运行时间为：上午9：00——下午16：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00</w:t>
      </w:r>
      <w:r>
        <w:rPr>
          <w:rFonts w:hint="eastAsia" w:ascii="Times New Roman" w:hAnsi="Times New Roman" w:eastAsia="仿宋_GB2312" w:cs="仿宋_GB2312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8722AA7-7E41-46B8-861F-C54AE8CCCA44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CD8763F-F396-4EBB-8C3C-E967C40E26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mFiMDRhMjczMGI5MjA1ZjFlNTgxZDc0Y2IwYjEifQ=="/>
  </w:docVars>
  <w:rsids>
    <w:rsidRoot w:val="61AC483F"/>
    <w:rsid w:val="61A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530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</w:pPr>
    <w:rPr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2023-08-21T09:31:00Z</dcterms:created>
  <dc:creator>君临</dc:creator>
  <cp:lastModifiedBy>君临</cp:lastModifiedBy>
  <dcterms:modified xsi:type="dcterms:W3CDTF">2023-08-21T09:47:56Z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DEA76B8247024CB78F2FA1CCE7D34395_11</vt:lpwstr>
  </property>
</Properties>
</file>