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ind w:firstLine="420" w:firstLineChars="200"/>
        <w:textAlignment w:val="auto"/>
        <w:outlineLvl w:val="9"/>
        <w:rPr>
          <w:rFonts w:hint="eastAsia"/>
          <w:b w:val="0"/>
          <w:bCs w:val="0"/>
          <w:highlight w:val="none"/>
        </w:rPr>
      </w:pPr>
      <w:r>
        <w:rPr>
          <w:rFonts w:hint="eastAsia"/>
          <w:b w:val="0"/>
          <w:bCs w:val="0"/>
          <w:highlight w:val="none"/>
        </w:rPr>
        <w:t>中国人民银行</w:t>
      </w:r>
      <w:r>
        <w:rPr>
          <w:rFonts w:hint="eastAsia"/>
          <w:b w:val="0"/>
          <w:bCs w:val="0"/>
          <w:highlight w:val="none"/>
          <w:lang w:val="en-US" w:eastAsia="zh-CN"/>
        </w:rPr>
        <w:t>广东省分行</w:t>
      </w:r>
      <w:r>
        <w:rPr>
          <w:rFonts w:hint="eastAsia"/>
          <w:b w:val="0"/>
          <w:bCs w:val="0"/>
          <w:highlight w:val="none"/>
        </w:rPr>
        <w:t>行政许可事项服务指南</w:t>
      </w:r>
      <w:r>
        <w:rPr>
          <w:rFonts w:hint="eastAsia"/>
          <w:b w:val="0"/>
          <w:bCs w:val="0"/>
          <w:highlight w:val="none"/>
          <w:lang w:val="en-US" w:eastAsia="zh-CN"/>
        </w:rPr>
        <w:t xml:space="preserve">                          </w:t>
      </w:r>
      <w:r>
        <w:rPr>
          <w:rFonts w:hint="eastAsia"/>
          <w:b w:val="0"/>
          <w:bCs w:val="0"/>
          <w:highlight w:val="none"/>
        </w:rPr>
        <w:t>编号：</w:t>
      </w:r>
    </w:p>
    <w:p>
      <w:pPr>
        <w:widowControl w:val="0"/>
        <w:wordWrap/>
        <w:adjustRightInd/>
        <w:snapToGrid/>
        <w:ind w:firstLine="422" w:firstLineChars="200"/>
        <w:jc w:val="center"/>
        <w:textAlignment w:val="auto"/>
        <w:outlineLvl w:val="9"/>
        <w:rPr>
          <w:rStyle w:val="9"/>
          <w:rFonts w:hint="eastAsia"/>
          <w:sz w:val="44"/>
          <w:szCs w:val="44"/>
          <w:highlight w:val="none"/>
        </w:rPr>
      </w:pP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ascii="黑体" w:hAnsi="黑体" w:eastAsia="黑体" w:cs="黑体"/>
          <w:b/>
          <w:bCs/>
          <w:highlight w:val="none"/>
        </w:rPr>
        <w:br w:type="textWrapping"/>
      </w:r>
      <w:r>
        <w:rPr>
          <w:rStyle w:val="9"/>
          <w:rFonts w:hint="eastAsia" w:ascii="创意简标宋" w:hAnsi="创意简标宋" w:eastAsia="创意简标宋" w:cs="创意简标宋"/>
          <w:b w:val="0"/>
          <w:bCs/>
          <w:sz w:val="44"/>
          <w:szCs w:val="44"/>
          <w:highlight w:val="none"/>
        </w:rPr>
        <w:t>人民币银行结算账户开户许可证核发审批事项服务指南</w:t>
      </w:r>
    </w:p>
    <w:p>
      <w:pPr>
        <w:widowControl w:val="0"/>
        <w:wordWrap/>
        <w:adjustRightInd/>
        <w:snapToGrid/>
        <w:ind w:firstLine="883" w:firstLineChars="200"/>
        <w:jc w:val="center"/>
        <w:textAlignment w:val="auto"/>
        <w:outlineLvl w:val="9"/>
        <w:rPr>
          <w:rFonts w:hint="eastAsia"/>
          <w:b/>
          <w:bCs/>
          <w:sz w:val="44"/>
          <w:szCs w:val="44"/>
          <w:highlight w:val="none"/>
        </w:rPr>
      </w:pPr>
      <w:r>
        <w:rPr>
          <w:rFonts w:hint="eastAsia"/>
          <w:b/>
          <w:bCs/>
          <w:sz w:val="44"/>
          <w:szCs w:val="44"/>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r>
        <w:rPr>
          <w:rFonts w:hint="eastAsia"/>
          <w:b/>
          <w:bCs/>
          <w:highlight w:val="none"/>
        </w:rPr>
        <w:br w:type="textWrapping"/>
      </w:r>
    </w:p>
    <w:p>
      <w:pPr>
        <w:widowControl w:val="0"/>
        <w:wordWrap/>
        <w:adjustRightInd/>
        <w:snapToGrid/>
        <w:spacing w:line="360" w:lineRule="auto"/>
        <w:ind w:firstLine="422" w:firstLineChars="200"/>
        <w:jc w:val="center"/>
        <w:textAlignment w:val="auto"/>
        <w:outlineLvl w:val="9"/>
        <w:rPr>
          <w:rFonts w:hint="eastAsia"/>
          <w:b/>
          <w:bCs/>
          <w:highlight w:val="none"/>
        </w:rPr>
      </w:pPr>
      <w:r>
        <w:rPr>
          <w:rFonts w:hint="eastAsia"/>
          <w:b/>
          <w:bCs/>
          <w:highlight w:val="none"/>
        </w:rPr>
        <w:t>发布日期：</w:t>
      </w:r>
      <w:r>
        <w:rPr>
          <w:rFonts w:hint="eastAsia"/>
          <w:b/>
          <w:bCs/>
          <w:highlight w:val="none"/>
          <w:lang w:val="en-US" w:eastAsia="zh-CN"/>
        </w:rPr>
        <w:t xml:space="preserve">  </w:t>
      </w:r>
      <w:r>
        <w:rPr>
          <w:rFonts w:hint="eastAsia" w:eastAsia="宋体"/>
          <w:b w:val="0"/>
          <w:bCs w:val="0"/>
          <w:spacing w:val="57"/>
          <w:highlight w:val="none"/>
        </w:rPr>
        <w:t>202</w:t>
      </w:r>
      <w:r>
        <w:rPr>
          <w:rFonts w:hint="eastAsia"/>
          <w:b w:val="0"/>
          <w:bCs w:val="0"/>
          <w:spacing w:val="57"/>
          <w:highlight w:val="none"/>
          <w:lang w:val="en-US" w:eastAsia="zh-CN"/>
        </w:rPr>
        <w:t xml:space="preserve">3 </w:t>
      </w:r>
      <w:r>
        <w:rPr>
          <w:rFonts w:hint="eastAsia" w:eastAsia="宋体"/>
          <w:b w:val="0"/>
          <w:bCs w:val="0"/>
          <w:spacing w:val="57"/>
          <w:highlight w:val="none"/>
        </w:rPr>
        <w:t>年</w:t>
      </w:r>
      <w:r>
        <w:rPr>
          <w:rFonts w:hint="eastAsia"/>
          <w:b w:val="0"/>
          <w:bCs w:val="0"/>
          <w:spacing w:val="57"/>
          <w:highlight w:val="none"/>
          <w:lang w:val="en-US" w:eastAsia="zh-CN"/>
        </w:rPr>
        <w:t>8</w:t>
      </w:r>
      <w:r>
        <w:rPr>
          <w:rFonts w:hint="eastAsia" w:eastAsia="宋体"/>
          <w:b w:val="0"/>
          <w:bCs w:val="0"/>
          <w:spacing w:val="57"/>
          <w:highlight w:val="none"/>
        </w:rPr>
        <w:t>月</w:t>
      </w:r>
    </w:p>
    <w:p>
      <w:pPr>
        <w:widowControl w:val="0"/>
        <w:wordWrap/>
        <w:adjustRightInd/>
        <w:snapToGrid/>
        <w:spacing w:line="360" w:lineRule="auto"/>
        <w:ind w:firstLine="422" w:firstLineChars="200"/>
        <w:jc w:val="center"/>
        <w:textAlignment w:val="auto"/>
        <w:outlineLvl w:val="9"/>
        <w:rPr>
          <w:rFonts w:hint="eastAsia"/>
          <w:b w:val="0"/>
          <w:bCs w:val="0"/>
          <w:highlight w:val="none"/>
        </w:rPr>
      </w:pPr>
      <w:r>
        <w:rPr>
          <w:rFonts w:hint="eastAsia"/>
          <w:b/>
          <w:bCs/>
          <w:highlight w:val="none"/>
        </w:rPr>
        <w:t>实施日期：</w:t>
      </w:r>
      <w:r>
        <w:rPr>
          <w:rFonts w:hint="eastAsia"/>
          <w:b/>
          <w:bCs/>
          <w:highlight w:val="none"/>
          <w:lang w:val="en-US" w:eastAsia="zh-CN"/>
        </w:rPr>
        <w:t xml:space="preserve"> </w:t>
      </w:r>
      <w:r>
        <w:rPr>
          <w:rFonts w:hint="eastAsia" w:eastAsia="宋体"/>
          <w:b w:val="0"/>
          <w:bCs w:val="0"/>
          <w:spacing w:val="57"/>
          <w:highlight w:val="none"/>
        </w:rPr>
        <w:t>自发布之日起</w:t>
      </w:r>
    </w:p>
    <w:p>
      <w:pPr>
        <w:widowControl w:val="0"/>
        <w:wordWrap/>
        <w:adjustRightInd/>
        <w:snapToGrid/>
        <w:spacing w:line="360" w:lineRule="auto"/>
        <w:ind w:firstLine="422" w:firstLineChars="200"/>
        <w:jc w:val="center"/>
        <w:textAlignment w:val="auto"/>
        <w:outlineLvl w:val="9"/>
        <w:rPr>
          <w:rFonts w:hint="eastAsia"/>
          <w:b w:val="0"/>
          <w:bCs w:val="0"/>
          <w:highlight w:val="none"/>
          <w:lang w:eastAsia="zh-CN"/>
        </w:rPr>
      </w:pPr>
      <w:r>
        <w:rPr>
          <w:rFonts w:hint="eastAsia"/>
          <w:b/>
          <w:bCs/>
          <w:highlight w:val="none"/>
        </w:rPr>
        <w:t>发布机构：</w:t>
      </w:r>
      <w:r>
        <w:rPr>
          <w:rFonts w:hint="eastAsia"/>
          <w:b w:val="0"/>
          <w:bCs w:val="0"/>
          <w:highlight w:val="none"/>
        </w:rPr>
        <w:t>中国人民银行</w:t>
      </w:r>
      <w:r>
        <w:rPr>
          <w:rFonts w:hint="eastAsia"/>
          <w:b w:val="0"/>
          <w:bCs w:val="0"/>
          <w:highlight w:val="none"/>
          <w:lang w:eastAsia="zh-CN"/>
        </w:rPr>
        <w:t>广东省分行</w:t>
      </w:r>
    </w:p>
    <w:p>
      <w:pPr>
        <w:widowControl w:val="0"/>
        <w:wordWrap/>
        <w:adjustRightInd/>
        <w:snapToGrid/>
        <w:ind w:firstLine="420" w:firstLineChars="200"/>
        <w:jc w:val="center"/>
        <w:textAlignment w:val="auto"/>
        <w:outlineLvl w:val="9"/>
        <w:rPr>
          <w:rFonts w:hint="eastAsia"/>
          <w:highlight w:val="none"/>
        </w:rPr>
      </w:pPr>
      <w:r>
        <w:rPr>
          <w:rFonts w:hint="eastAsia"/>
          <w:highlight w:val="none"/>
        </w:rPr>
        <w:br w:type="page"/>
      </w:r>
    </w:p>
    <w:p>
      <w:pPr>
        <w:widowControl w:val="0"/>
        <w:wordWrap/>
        <w:adjustRightInd/>
        <w:snapToGrid/>
        <w:ind w:firstLine="420" w:firstLineChars="200"/>
        <w:textAlignment w:val="auto"/>
        <w:outlineLvl w:val="9"/>
        <w:rPr>
          <w:rFonts w:hint="eastAsia"/>
          <w:highlight w:val="none"/>
        </w:rPr>
      </w:pPr>
    </w:p>
    <w:p>
      <w:pPr>
        <w:widowControl w:val="0"/>
        <w:wordWrap/>
        <w:adjustRightInd/>
        <w:snapToGrid/>
        <w:jc w:val="center"/>
        <w:textAlignment w:val="auto"/>
        <w:outlineLvl w:val="9"/>
        <w:rPr>
          <w:rFonts w:hint="eastAsia" w:ascii="黑体" w:hAnsi="黑体" w:eastAsia="黑体" w:cs="黑体"/>
          <w:b w:val="0"/>
          <w:bCs w:val="0"/>
          <w:sz w:val="44"/>
          <w:szCs w:val="44"/>
          <w:highlight w:val="none"/>
        </w:rPr>
      </w:pPr>
      <w:r>
        <w:rPr>
          <w:rFonts w:hint="eastAsia" w:ascii="黑体" w:hAnsi="黑体" w:eastAsia="黑体" w:cs="黑体"/>
          <w:b w:val="0"/>
          <w:bCs w:val="0"/>
          <w:sz w:val="44"/>
          <w:szCs w:val="44"/>
          <w:highlight w:val="none"/>
        </w:rPr>
        <w:t>人民币银行结算账户开户许可证核发审批事项服务指南</w:t>
      </w:r>
    </w:p>
    <w:p>
      <w:pPr>
        <w:widowControl w:val="0"/>
        <w:wordWrap/>
        <w:adjustRightInd/>
        <w:snapToGrid/>
        <w:ind w:firstLine="600" w:firstLineChars="200"/>
        <w:textAlignment w:val="auto"/>
        <w:outlineLvl w:val="9"/>
        <w:rPr>
          <w:rFonts w:hint="eastAsia" w:ascii="仿宋_GB2312" w:hAnsi="仿宋_GB2312" w:eastAsia="仿宋_GB2312" w:cs="仿宋_GB2312"/>
          <w:sz w:val="30"/>
          <w:szCs w:val="30"/>
          <w:highlight w:val="none"/>
        </w:rPr>
      </w:pPr>
    </w:p>
    <w:p>
      <w:pPr>
        <w:widowControl w:val="0"/>
        <w:wordWrap/>
        <w:adjustRightInd/>
        <w:snapToGrid/>
        <w:spacing w:line="540" w:lineRule="atLeas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一、适用范围</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本指南适用于人民币银行结算账户开户许可证的申请和办理。</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0"/>
          <w:szCs w:val="30"/>
          <w:highlight w:val="none"/>
        </w:rPr>
      </w:pPr>
      <w:r>
        <w:rPr>
          <w:rFonts w:hint="eastAsia" w:ascii="黑体" w:hAnsi="黑体" w:eastAsia="黑体" w:cs="黑体"/>
          <w:sz w:val="32"/>
          <w:szCs w:val="32"/>
          <w:highlight w:val="none"/>
        </w:rPr>
        <w:t>二、事项审查类型</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前审后批</w:t>
      </w:r>
    </w:p>
    <w:p>
      <w:pPr>
        <w:widowControl w:val="0"/>
        <w:wordWrap/>
        <w:adjustRightInd/>
        <w:snapToGrid/>
        <w:spacing w:line="540" w:lineRule="atLeas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三、审批依据</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《国务院对确需保留的行政审批项目设定行政许可的决定》（国务院令第412号）第219项：银行账户开户许可证核发。</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人民币银行结算账户管理办法》（中国人民银行令〔2003〕第5号）第六条规定：“存款人开立基本存款账户、临时存款账户和预算单位开立专用存款账户实行核准制度，经中国人民银行核准后由开户银行核发开户登记证。”</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国人民银行关于取消企业银行账户许可有关事宜的决定》（中国人民银行令〔2019〕第1号）第二条规定：“中华人民共和国境内依法设立的企业法人、非法人企业、个体工商户在取消企业银行账户许可地区的银行业金融机构办理基本存款账户、临时存款账户，由核准制改为备案制，不再执行《人民币银行结算账户管理办法》（中国人民银行令〔2003〕第5号发布）第六条、第二十九条、第三十一条、第三十八条规定，以及第十八条、第十九条、第二十一条、第二十三条、第二十八条、第三十二条、第三十六条、第五十四条、第五十五条、第六十三条涉及银行账户核准以及开户许可证（开户登记证）的相关规定。”</w:t>
      </w:r>
    </w:p>
    <w:p>
      <w:pPr>
        <w:widowControl w:val="0"/>
        <w:wordWrap/>
        <w:adjustRightInd/>
        <w:snapToGrid/>
        <w:spacing w:line="540" w:lineRule="atLeas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四、受理机构</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eastAsia="zh-CN"/>
        </w:rPr>
        <w:t>广东省分行</w:t>
      </w:r>
      <w:r>
        <w:rPr>
          <w:rFonts w:hint="eastAsia" w:ascii="仿宋_GB2312" w:hAnsi="仿宋_GB2312" w:eastAsia="仿宋_GB2312" w:cs="仿宋_GB2312"/>
          <w:sz w:val="32"/>
          <w:szCs w:val="32"/>
          <w:highlight w:val="none"/>
        </w:rPr>
        <w:t>及</w:t>
      </w:r>
      <w:r>
        <w:rPr>
          <w:rFonts w:hint="eastAsia" w:ascii="仿宋_GB2312" w:hAnsi="仿宋_GB2312" w:eastAsia="仿宋_GB2312" w:cs="仿宋_GB2312"/>
          <w:sz w:val="32"/>
          <w:szCs w:val="32"/>
          <w:highlight w:val="none"/>
          <w:lang w:eastAsia="zh-CN"/>
        </w:rPr>
        <w:t>广东省内各地市分行（不含深圳，下同）</w:t>
      </w:r>
    </w:p>
    <w:p>
      <w:pPr>
        <w:widowControl w:val="0"/>
        <w:wordWrap/>
        <w:adjustRightInd/>
        <w:snapToGrid/>
        <w:spacing w:line="540" w:lineRule="atLeas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五、审核机构</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eastAsia="zh-CN"/>
        </w:rPr>
        <w:t>广东省分行</w:t>
      </w:r>
      <w:r>
        <w:rPr>
          <w:rFonts w:hint="eastAsia" w:ascii="仿宋_GB2312" w:hAnsi="仿宋_GB2312" w:eastAsia="仿宋_GB2312" w:cs="仿宋_GB2312"/>
          <w:sz w:val="32"/>
          <w:szCs w:val="32"/>
          <w:highlight w:val="none"/>
        </w:rPr>
        <w:t>及</w:t>
      </w:r>
      <w:r>
        <w:rPr>
          <w:rFonts w:hint="eastAsia" w:ascii="仿宋_GB2312" w:hAnsi="仿宋_GB2312" w:eastAsia="仿宋_GB2312" w:cs="仿宋_GB2312"/>
          <w:sz w:val="32"/>
          <w:szCs w:val="32"/>
          <w:highlight w:val="none"/>
          <w:lang w:eastAsia="zh-CN"/>
        </w:rPr>
        <w:t>广东省内各地市分行</w:t>
      </w:r>
    </w:p>
    <w:p>
      <w:pPr>
        <w:widowControl w:val="0"/>
        <w:wordWrap/>
        <w:adjustRightInd/>
        <w:snapToGrid/>
        <w:spacing w:line="540" w:lineRule="atLeas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六、决定机构</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eastAsia="zh-CN"/>
        </w:rPr>
        <w:t>广东省分行</w:t>
      </w:r>
      <w:r>
        <w:rPr>
          <w:rFonts w:hint="eastAsia" w:ascii="仿宋_GB2312" w:hAnsi="仿宋_GB2312" w:eastAsia="仿宋_GB2312" w:cs="仿宋_GB2312"/>
          <w:sz w:val="32"/>
          <w:szCs w:val="32"/>
          <w:highlight w:val="none"/>
        </w:rPr>
        <w:t>及</w:t>
      </w:r>
      <w:r>
        <w:rPr>
          <w:rFonts w:hint="eastAsia" w:ascii="仿宋_GB2312" w:hAnsi="仿宋_GB2312" w:eastAsia="仿宋_GB2312" w:cs="仿宋_GB2312"/>
          <w:sz w:val="32"/>
          <w:szCs w:val="32"/>
          <w:highlight w:val="none"/>
          <w:lang w:eastAsia="zh-CN"/>
        </w:rPr>
        <w:t>广东省内各地市分行</w:t>
      </w:r>
      <w:bookmarkStart w:id="0" w:name="_GoBack"/>
      <w:bookmarkEnd w:id="0"/>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0"/>
          <w:szCs w:val="30"/>
          <w:highlight w:val="none"/>
        </w:rPr>
      </w:pPr>
      <w:r>
        <w:rPr>
          <w:rFonts w:hint="eastAsia" w:ascii="黑体" w:hAnsi="黑体" w:eastAsia="黑体" w:cs="黑体"/>
          <w:sz w:val="32"/>
          <w:szCs w:val="32"/>
          <w:highlight w:val="none"/>
        </w:rPr>
        <w:t>七、数量限制</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无数量限制</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0"/>
          <w:szCs w:val="30"/>
          <w:highlight w:val="none"/>
        </w:rPr>
      </w:pPr>
      <w:r>
        <w:rPr>
          <w:rFonts w:hint="eastAsia" w:ascii="黑体" w:hAnsi="黑体" w:eastAsia="黑体" w:cs="黑体"/>
          <w:sz w:val="32"/>
          <w:szCs w:val="32"/>
          <w:highlight w:val="none"/>
        </w:rPr>
        <w:t>八、申请条件</w:t>
      </w:r>
    </w:p>
    <w:p>
      <w:pPr>
        <w:widowControl w:val="0"/>
        <w:wordWrap/>
        <w:adjustRightInd/>
        <w:snapToGrid/>
        <w:spacing w:line="540" w:lineRule="atLeas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（一）申请人条件</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存款人在中国境内的银行可开立银行结算账户。存款人是指在中国境内开立银行结算账户的机关、社会团体、部队、事业单位、单位设立的独立核算的附属机构、其他组织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银行是指在中国境内经中国人民银行批准经营支付结算业务的政策性银行、商业银行（含外资独资银行、中外合资银行、外国银行分行）、农村合作银行、城市信用合作社、农村信用合作社。银行结算账户是指银行为存款人开立的办理资金收付结算的人民币活期存款账户。</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存款人开立基本存款账户、临时存款账户和预算单位开立专用存款账户实行核准制度。</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楷体_GB2312" w:hAnsi="楷体_GB2312" w:eastAsia="楷体_GB2312" w:cs="楷体_GB2312"/>
          <w:sz w:val="32"/>
          <w:szCs w:val="32"/>
          <w:highlight w:val="none"/>
        </w:rPr>
        <w:t>二）符合如下条件的，准予批准：</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申请人提交的申请材料齐全、符合法定形式。</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银行结算账户的存款人只能在银行开立一个</w:t>
      </w:r>
      <w:r>
        <w:rPr>
          <w:rFonts w:hint="eastAsia" w:ascii="仿宋_GB2312" w:hAnsi="仿宋_GB2312" w:eastAsia="仿宋_GB2312" w:cs="仿宋_GB2312"/>
          <w:sz w:val="32"/>
          <w:szCs w:val="32"/>
          <w:highlight w:val="none"/>
          <w:lang w:eastAsia="zh-CN"/>
        </w:rPr>
        <w:t>基本存款账户</w:t>
      </w:r>
      <w:r>
        <w:rPr>
          <w:rFonts w:hint="eastAsia" w:ascii="仿宋_GB2312" w:hAnsi="仿宋_GB2312" w:eastAsia="仿宋_GB2312" w:cs="仿宋_GB2312"/>
          <w:sz w:val="32"/>
          <w:szCs w:val="32"/>
          <w:highlight w:val="none"/>
        </w:rPr>
        <w:t>。存款人应在注册地或住所地开立银行结算账户。符合《人民币银行结算账户管理办法》规定可以在异地（跨省、市、县）开立银行结算账户的除外。</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单位开立银行结算账户的名称应与其提供的申请开户的证明文件的名称全称相一致。</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按照国家有关规定或存款人资金管理有特殊需要的，存款人开立的专用存款账户的名称可以为单位名称后加内设机构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名称或资金性质，但专用存款账户的预留签章应与专用存款账户名称一致。</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.基本存款账户</w:t>
      </w:r>
      <w:r>
        <w:rPr>
          <w:rFonts w:hint="eastAsia" w:ascii="仿宋_GB2312" w:hAnsi="仿宋_GB2312" w:eastAsia="仿宋_GB2312" w:cs="仿宋_GB2312"/>
          <w:sz w:val="32"/>
          <w:szCs w:val="32"/>
          <w:highlight w:val="none"/>
        </w:rPr>
        <w:t>是存款人因办理日常转账结算和现金收付需要开立的银行结算账户。下列存款人可以申请开立</w:t>
      </w:r>
      <w:r>
        <w:rPr>
          <w:rFonts w:hint="eastAsia" w:ascii="仿宋_GB2312" w:hAnsi="仿宋_GB2312" w:eastAsia="仿宋_GB2312" w:cs="仿宋_GB2312"/>
          <w:sz w:val="32"/>
          <w:szCs w:val="32"/>
          <w:highlight w:val="none"/>
          <w:lang w:eastAsia="zh-CN"/>
        </w:rPr>
        <w:t>基本存款账户：</w:t>
      </w:r>
      <w:r>
        <w:rPr>
          <w:rFonts w:hint="eastAsia" w:ascii="仿宋_GB2312" w:hAnsi="仿宋_GB2312" w:eastAsia="仿宋_GB2312" w:cs="仿宋_GB2312"/>
          <w:sz w:val="32"/>
          <w:szCs w:val="32"/>
          <w:highlight w:val="none"/>
        </w:rPr>
        <w:t>机关、事业单位、团级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以上军队、武警部队及分散执勤的支（分）队、社会团体、民办非企业组织、异地常设机构、外国驻华机构、居民委员会、村民委员会、社区委员会、单位设立的独立核算的附属机构、其他组织</w:t>
      </w:r>
      <w:r>
        <w:rPr>
          <w:rFonts w:hint="eastAsia" w:ascii="仿宋_GB2312" w:hAnsi="仿宋_GB2312" w:eastAsia="仿宋_GB2312" w:cs="仿宋_GB2312"/>
          <w:sz w:val="32"/>
          <w:szCs w:val="32"/>
          <w:highlight w:val="none"/>
          <w:lang w:eastAsia="zh-CN"/>
        </w:rPr>
        <w:t>。</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专用存款账户是存款人按照法律、行政法规和规章，对其特定用途资金进行专项管理和使用而开立的银行结算账户。对下列资金的管理与使用，存款人可以申请开立专用存款账户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基本建设资金、更新改造资金、财政预算外资金、粮、棉、油收购资金、证券交易结算资金、期货交易保证金、信托基金、金融机构存放同业资金、政策性房地产开发资金、单位银行卡备用金、住房基金、社会保障基金、收入汇缴资金和业务支出资金、党、团、工会设在单位的组织机构经费、其他需要专项管理和使用的资金。收入汇缴资金和业务支出资金，是指</w:t>
      </w:r>
      <w:r>
        <w:rPr>
          <w:rFonts w:hint="eastAsia" w:ascii="仿宋_GB2312" w:hAnsi="仿宋_GB2312" w:eastAsia="仿宋_GB2312" w:cs="仿宋_GB2312"/>
          <w:sz w:val="32"/>
          <w:szCs w:val="32"/>
          <w:highlight w:val="none"/>
          <w:lang w:eastAsia="zh-CN"/>
        </w:rPr>
        <w:t>基本存款账户</w:t>
      </w:r>
      <w:r>
        <w:rPr>
          <w:rFonts w:hint="eastAsia" w:ascii="仿宋_GB2312" w:hAnsi="仿宋_GB2312" w:eastAsia="仿宋_GB2312" w:cs="仿宋_GB2312"/>
          <w:sz w:val="32"/>
          <w:szCs w:val="32"/>
          <w:highlight w:val="none"/>
        </w:rPr>
        <w:t>存款人附属的非独立核算单位或派出机构发生的收入和支出的资金。因收入汇缴资金和业务支出资金开立的专用存款账户，应使用隶属单位的名称。</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临时存款账户是存款人因临时需要并在规定期限内使用而开立的银行结算账户。临时机构可以申请开立临时存款账户。</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（三）有如下情形之一的，不予批准：</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申请人提交的申请材料不齐全、或不符合法定形式。</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申请不符合法定条件、标准。</w:t>
      </w:r>
    </w:p>
    <w:p>
      <w:pPr>
        <w:widowControl w:val="0"/>
        <w:wordWrap/>
        <w:adjustRightInd/>
        <w:snapToGrid/>
        <w:spacing w:line="540" w:lineRule="atLeas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九、申请材料</w:t>
      </w:r>
    </w:p>
    <w:p>
      <w:pPr>
        <w:widowControl w:val="0"/>
        <w:wordWrap/>
        <w:adjustRightInd/>
        <w:snapToGrid/>
        <w:spacing w:line="540" w:lineRule="atLeas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（一）申请材料清单</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.基本存款账户</w:t>
      </w:r>
      <w:r>
        <w:rPr>
          <w:rFonts w:hint="eastAsia" w:ascii="仿宋_GB2312" w:hAnsi="仿宋_GB2312" w:eastAsia="仿宋_GB2312" w:cs="仿宋_GB2312"/>
          <w:sz w:val="32"/>
          <w:szCs w:val="32"/>
          <w:highlight w:val="none"/>
        </w:rPr>
        <w:t>申请资料</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①存款人身份证件资料：</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机关和实行预算管理的事业单位，应出具政府人事部门或编制委员会的批文或登记证书和财政部门同意其开户的证明；非预算管理的事业单位，应出具政府人事部门或编制委员会的批文或登记证书；军队、武警团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以上单位以及分散执勤的支（分）队，应出具军队军级以上单位财务部门、武警总队财务部门的开户证明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社会团体，应出具社会团体登记证书，宗教组织还应出具宗教事务管理部门的批文或证明；民办非企业组织，应出具民办非企业登记证书；外地常设机构，应出具其驻在地政府主管部门的批文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外国驻华机构，应出具国家有关主管部门的批文或证明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外资企业驻华代表处、办事处应出具国家登记机关颁发的登记证；居民委员会、村民委员会、社区委员会，应出具其主管部门的批文或证明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独立核算的附属机构，应出具其主管部门的</w:t>
      </w:r>
      <w:r>
        <w:rPr>
          <w:rFonts w:hint="eastAsia" w:ascii="仿宋_GB2312" w:hAnsi="仿宋_GB2312" w:eastAsia="仿宋_GB2312" w:cs="仿宋_GB2312"/>
          <w:sz w:val="32"/>
          <w:szCs w:val="32"/>
          <w:highlight w:val="none"/>
          <w:lang w:eastAsia="zh-CN"/>
        </w:rPr>
        <w:t>基本存款账户</w:t>
      </w:r>
      <w:r>
        <w:rPr>
          <w:rFonts w:hint="eastAsia" w:ascii="仿宋_GB2312" w:hAnsi="仿宋_GB2312" w:eastAsia="仿宋_GB2312" w:cs="仿宋_GB2312"/>
          <w:sz w:val="32"/>
          <w:szCs w:val="32"/>
          <w:highlight w:val="none"/>
        </w:rPr>
        <w:t>开户许可证和批文；其他组织，应出具政府主管部门的批文或证明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存款人为从事生产、经营活动纳税人的，还应出具税务部门颁发的税务登记证。</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②存款人的法定代表人或者单位负责人的身份证明资料。授权他人办理的，除出具相应的证明文件外，还应出具其法定代表人或单位负责人的授权书及其身份证件，以及被授权人的身份证件。</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专用存款账户申请资料</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①存款人</w:t>
      </w:r>
      <w:r>
        <w:rPr>
          <w:rFonts w:hint="eastAsia" w:ascii="仿宋_GB2312" w:hAnsi="仿宋_GB2312" w:eastAsia="仿宋_GB2312" w:cs="仿宋_GB2312"/>
          <w:sz w:val="32"/>
          <w:szCs w:val="32"/>
          <w:highlight w:val="none"/>
          <w:lang w:eastAsia="zh-CN"/>
        </w:rPr>
        <w:t>基本存款账户</w:t>
      </w:r>
      <w:r>
        <w:rPr>
          <w:rFonts w:hint="eastAsia" w:ascii="仿宋_GB2312" w:hAnsi="仿宋_GB2312" w:eastAsia="仿宋_GB2312" w:cs="仿宋_GB2312"/>
          <w:sz w:val="32"/>
          <w:szCs w:val="32"/>
          <w:highlight w:val="none"/>
        </w:rPr>
        <w:t>开设所需的全部资料；</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②存款人当前的</w:t>
      </w:r>
      <w:r>
        <w:rPr>
          <w:rFonts w:hint="eastAsia" w:ascii="仿宋_GB2312" w:hAnsi="仿宋_GB2312" w:eastAsia="仿宋_GB2312" w:cs="仿宋_GB2312"/>
          <w:sz w:val="32"/>
          <w:szCs w:val="32"/>
          <w:highlight w:val="none"/>
          <w:lang w:eastAsia="zh-CN"/>
        </w:rPr>
        <w:t>基本存款账户</w:t>
      </w:r>
      <w:r>
        <w:rPr>
          <w:rFonts w:hint="eastAsia" w:ascii="仿宋_GB2312" w:hAnsi="仿宋_GB2312" w:eastAsia="仿宋_GB2312" w:cs="仿宋_GB2312"/>
          <w:sz w:val="32"/>
          <w:szCs w:val="32"/>
          <w:highlight w:val="none"/>
        </w:rPr>
        <w:t>开户许可证；</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③根据存款人开立专用存款账户的资金性质，还需提供如下资料：</w:t>
      </w:r>
    </w:p>
    <w:tbl>
      <w:tblPr>
        <w:tblStyle w:val="6"/>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8" w:type="dxa"/>
            <w:vAlign w:val="top"/>
          </w:tcPr>
          <w:p>
            <w:pPr>
              <w:widowControl w:val="0"/>
              <w:wordWrap/>
              <w:adjustRightInd/>
              <w:snapToGrid/>
              <w:ind w:firstLine="420" w:firstLineChars="200"/>
              <w:jc w:val="center"/>
              <w:textAlignment w:val="auto"/>
              <w:outlineLvl w:val="9"/>
              <w:rPr>
                <w:rFonts w:hint="eastAsia"/>
                <w:highlight w:val="none"/>
              </w:rPr>
            </w:pPr>
            <w:r>
              <w:rPr>
                <w:rFonts w:hint="eastAsia"/>
                <w:highlight w:val="none"/>
              </w:rPr>
              <w:t>资金性质</w:t>
            </w:r>
          </w:p>
        </w:tc>
        <w:tc>
          <w:tcPr>
            <w:tcW w:w="4662" w:type="dxa"/>
            <w:vAlign w:val="center"/>
          </w:tcPr>
          <w:p>
            <w:pPr>
              <w:widowControl w:val="0"/>
              <w:wordWrap/>
              <w:adjustRightInd/>
              <w:snapToGrid/>
              <w:ind w:firstLine="420" w:firstLineChars="200"/>
              <w:jc w:val="center"/>
              <w:textAlignment w:val="auto"/>
              <w:outlineLvl w:val="9"/>
              <w:rPr>
                <w:rFonts w:hint="eastAsia" w:eastAsia="宋体"/>
                <w:highlight w:val="none"/>
                <w:lang w:val="en-US" w:eastAsia="zh-CN"/>
              </w:rPr>
            </w:pPr>
            <w:r>
              <w:rPr>
                <w:rFonts w:hint="eastAsia"/>
                <w:highlight w:val="none"/>
                <w:lang w:val="en-US" w:eastAsia="zh-CN"/>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8" w:type="dxa"/>
            <w:vAlign w:val="top"/>
          </w:tcPr>
          <w:p>
            <w:pPr>
              <w:widowControl w:val="0"/>
              <w:wordWrap/>
              <w:adjustRightInd/>
              <w:snapToGrid/>
              <w:textAlignment w:val="auto"/>
              <w:outlineLvl w:val="9"/>
              <w:rPr>
                <w:rFonts w:hint="eastAsia"/>
                <w:highlight w:val="none"/>
              </w:rPr>
            </w:pPr>
            <w:r>
              <w:rPr>
                <w:rFonts w:hint="eastAsia"/>
                <w:highlight w:val="none"/>
              </w:rPr>
              <w:t>住房基金</w:t>
            </w:r>
          </w:p>
        </w:tc>
        <w:tc>
          <w:tcPr>
            <w:tcW w:w="4662" w:type="dxa"/>
            <w:vMerge w:val="restart"/>
            <w:vAlign w:val="center"/>
          </w:tcPr>
          <w:p>
            <w:pPr>
              <w:widowControl w:val="0"/>
              <w:wordWrap/>
              <w:adjustRightInd/>
              <w:snapToGrid/>
              <w:jc w:val="both"/>
              <w:textAlignment w:val="auto"/>
              <w:outlineLvl w:val="9"/>
              <w:rPr>
                <w:rFonts w:hint="eastAsia"/>
                <w:highlight w:val="none"/>
              </w:rPr>
            </w:pPr>
            <w:r>
              <w:rPr>
                <w:rFonts w:hint="eastAsia"/>
                <w:highlight w:val="none"/>
              </w:rPr>
              <w:t>主管部门批文</w:t>
            </w:r>
          </w:p>
          <w:p>
            <w:pPr>
              <w:widowControl w:val="0"/>
              <w:wordWrap/>
              <w:adjustRightInd/>
              <w:snapToGrid/>
              <w:ind w:firstLine="420" w:firstLineChars="200"/>
              <w:jc w:val="center"/>
              <w:textAlignment w:val="auto"/>
              <w:outlineLvl w:val="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8" w:type="dxa"/>
            <w:vAlign w:val="top"/>
          </w:tcPr>
          <w:p>
            <w:pPr>
              <w:widowControl w:val="0"/>
              <w:wordWrap/>
              <w:adjustRightInd/>
              <w:snapToGrid/>
              <w:textAlignment w:val="auto"/>
              <w:outlineLvl w:val="9"/>
              <w:rPr>
                <w:rFonts w:hint="eastAsia"/>
                <w:highlight w:val="none"/>
              </w:rPr>
            </w:pPr>
            <w:r>
              <w:rPr>
                <w:rFonts w:hint="eastAsia"/>
                <w:highlight w:val="none"/>
              </w:rPr>
              <w:t>基本建设资金</w:t>
            </w:r>
          </w:p>
        </w:tc>
        <w:tc>
          <w:tcPr>
            <w:tcW w:w="4662" w:type="dxa"/>
            <w:vMerge w:val="continue"/>
            <w:vAlign w:val="top"/>
          </w:tcPr>
          <w:p>
            <w:pPr>
              <w:widowControl w:val="0"/>
              <w:wordWrap/>
              <w:adjustRightInd/>
              <w:snapToGrid/>
              <w:ind w:firstLine="420" w:firstLineChars="200"/>
              <w:textAlignment w:val="auto"/>
              <w:outlineLvl w:val="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8" w:type="dxa"/>
            <w:vAlign w:val="top"/>
          </w:tcPr>
          <w:p>
            <w:pPr>
              <w:widowControl w:val="0"/>
              <w:wordWrap/>
              <w:adjustRightInd/>
              <w:snapToGrid/>
              <w:textAlignment w:val="auto"/>
              <w:outlineLvl w:val="9"/>
              <w:rPr>
                <w:rFonts w:hint="eastAsia"/>
                <w:highlight w:val="none"/>
              </w:rPr>
            </w:pPr>
            <w:r>
              <w:rPr>
                <w:rFonts w:hint="eastAsia"/>
                <w:highlight w:val="none"/>
              </w:rPr>
              <w:t>更新改造资金</w:t>
            </w:r>
          </w:p>
        </w:tc>
        <w:tc>
          <w:tcPr>
            <w:tcW w:w="4662" w:type="dxa"/>
            <w:vMerge w:val="continue"/>
            <w:vAlign w:val="top"/>
          </w:tcPr>
          <w:p>
            <w:pPr>
              <w:widowControl w:val="0"/>
              <w:wordWrap/>
              <w:adjustRightInd/>
              <w:snapToGrid/>
              <w:ind w:firstLine="420" w:firstLineChars="200"/>
              <w:textAlignment w:val="auto"/>
              <w:outlineLvl w:val="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8" w:type="dxa"/>
            <w:vAlign w:val="top"/>
          </w:tcPr>
          <w:p>
            <w:pPr>
              <w:widowControl w:val="0"/>
              <w:wordWrap/>
              <w:adjustRightInd/>
              <w:snapToGrid/>
              <w:textAlignment w:val="auto"/>
              <w:outlineLvl w:val="9"/>
              <w:rPr>
                <w:rFonts w:hint="eastAsia"/>
                <w:highlight w:val="none"/>
              </w:rPr>
            </w:pPr>
            <w:r>
              <w:rPr>
                <w:rFonts w:hint="eastAsia"/>
                <w:highlight w:val="none"/>
              </w:rPr>
              <w:t>社会保障基金</w:t>
            </w:r>
          </w:p>
        </w:tc>
        <w:tc>
          <w:tcPr>
            <w:tcW w:w="4662" w:type="dxa"/>
            <w:vMerge w:val="continue"/>
            <w:vAlign w:val="top"/>
          </w:tcPr>
          <w:p>
            <w:pPr>
              <w:widowControl w:val="0"/>
              <w:wordWrap/>
              <w:adjustRightInd/>
              <w:snapToGrid/>
              <w:ind w:firstLine="420" w:firstLineChars="200"/>
              <w:textAlignment w:val="auto"/>
              <w:outlineLvl w:val="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8" w:type="dxa"/>
            <w:vAlign w:val="top"/>
          </w:tcPr>
          <w:p>
            <w:pPr>
              <w:widowControl w:val="0"/>
              <w:wordWrap/>
              <w:adjustRightInd/>
              <w:snapToGrid/>
              <w:textAlignment w:val="auto"/>
              <w:outlineLvl w:val="9"/>
              <w:rPr>
                <w:rFonts w:hint="eastAsia"/>
                <w:highlight w:val="none"/>
              </w:rPr>
            </w:pPr>
            <w:r>
              <w:rPr>
                <w:rFonts w:hint="eastAsia"/>
                <w:highlight w:val="none"/>
              </w:rPr>
              <w:t>粮、棉、油收购资金</w:t>
            </w:r>
          </w:p>
        </w:tc>
        <w:tc>
          <w:tcPr>
            <w:tcW w:w="4662" w:type="dxa"/>
            <w:vMerge w:val="continue"/>
            <w:vAlign w:val="top"/>
          </w:tcPr>
          <w:p>
            <w:pPr>
              <w:widowControl w:val="0"/>
              <w:wordWrap/>
              <w:adjustRightInd/>
              <w:snapToGrid/>
              <w:ind w:firstLine="420" w:firstLineChars="200"/>
              <w:textAlignment w:val="auto"/>
              <w:outlineLvl w:val="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8" w:type="dxa"/>
            <w:vAlign w:val="top"/>
          </w:tcPr>
          <w:p>
            <w:pPr>
              <w:widowControl w:val="0"/>
              <w:wordWrap/>
              <w:adjustRightInd/>
              <w:snapToGrid/>
              <w:textAlignment w:val="auto"/>
              <w:outlineLvl w:val="9"/>
              <w:rPr>
                <w:rFonts w:hint="eastAsia"/>
                <w:highlight w:val="none"/>
              </w:rPr>
            </w:pPr>
            <w:r>
              <w:rPr>
                <w:rFonts w:hint="eastAsia"/>
                <w:highlight w:val="none"/>
              </w:rPr>
              <w:t>政策性房地产开发资金</w:t>
            </w:r>
          </w:p>
        </w:tc>
        <w:tc>
          <w:tcPr>
            <w:tcW w:w="4662" w:type="dxa"/>
            <w:vMerge w:val="continue"/>
            <w:vAlign w:val="top"/>
          </w:tcPr>
          <w:p>
            <w:pPr>
              <w:widowControl w:val="0"/>
              <w:wordWrap/>
              <w:adjustRightInd/>
              <w:snapToGrid/>
              <w:ind w:firstLine="420" w:firstLineChars="200"/>
              <w:textAlignment w:val="auto"/>
              <w:outlineLvl w:val="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8" w:type="dxa"/>
            <w:vAlign w:val="top"/>
          </w:tcPr>
          <w:p>
            <w:pPr>
              <w:widowControl w:val="0"/>
              <w:wordWrap/>
              <w:adjustRightInd/>
              <w:snapToGrid/>
              <w:textAlignment w:val="auto"/>
              <w:outlineLvl w:val="9"/>
              <w:rPr>
                <w:rFonts w:hint="eastAsia"/>
                <w:highlight w:val="none"/>
              </w:rPr>
            </w:pPr>
            <w:r>
              <w:rPr>
                <w:rFonts w:hint="eastAsia"/>
                <w:highlight w:val="none"/>
              </w:rPr>
              <w:t>财政预算外资金</w:t>
            </w:r>
          </w:p>
        </w:tc>
        <w:tc>
          <w:tcPr>
            <w:tcW w:w="4662" w:type="dxa"/>
            <w:vAlign w:val="top"/>
          </w:tcPr>
          <w:p>
            <w:pPr>
              <w:widowControl w:val="0"/>
              <w:wordWrap/>
              <w:adjustRightInd/>
              <w:snapToGrid/>
              <w:textAlignment w:val="auto"/>
              <w:outlineLvl w:val="9"/>
              <w:rPr>
                <w:rFonts w:hint="eastAsia"/>
                <w:highlight w:val="none"/>
              </w:rPr>
            </w:pPr>
            <w:r>
              <w:rPr>
                <w:rFonts w:hint="eastAsia"/>
                <w:highlight w:val="none"/>
              </w:rPr>
              <w:t>财政部门批文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8" w:type="dxa"/>
            <w:vAlign w:val="top"/>
          </w:tcPr>
          <w:p>
            <w:pPr>
              <w:widowControl w:val="0"/>
              <w:wordWrap/>
              <w:adjustRightInd/>
              <w:snapToGrid/>
              <w:textAlignment w:val="auto"/>
              <w:outlineLvl w:val="9"/>
              <w:rPr>
                <w:rFonts w:hint="eastAsia"/>
                <w:highlight w:val="none"/>
              </w:rPr>
            </w:pPr>
            <w:r>
              <w:rPr>
                <w:rFonts w:hint="eastAsia"/>
                <w:highlight w:val="none"/>
              </w:rPr>
              <w:t>单位银行卡备用金</w:t>
            </w:r>
          </w:p>
        </w:tc>
        <w:tc>
          <w:tcPr>
            <w:tcW w:w="4662" w:type="dxa"/>
            <w:vAlign w:val="top"/>
          </w:tcPr>
          <w:p>
            <w:pPr>
              <w:widowControl w:val="0"/>
              <w:wordWrap/>
              <w:adjustRightInd/>
              <w:snapToGrid/>
              <w:textAlignment w:val="auto"/>
              <w:outlineLvl w:val="9"/>
              <w:rPr>
                <w:rFonts w:hint="eastAsia"/>
                <w:highlight w:val="none"/>
              </w:rPr>
            </w:pPr>
            <w:r>
              <w:rPr>
                <w:rFonts w:hint="eastAsia"/>
                <w:highlight w:val="none"/>
              </w:rPr>
              <w:t>按照人行批准的银行卡章程规定出示相关资料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8" w:type="dxa"/>
            <w:vAlign w:val="top"/>
          </w:tcPr>
          <w:p>
            <w:pPr>
              <w:widowControl w:val="0"/>
              <w:wordWrap/>
              <w:adjustRightInd/>
              <w:snapToGrid/>
              <w:textAlignment w:val="auto"/>
              <w:outlineLvl w:val="9"/>
              <w:rPr>
                <w:rFonts w:hint="eastAsia"/>
                <w:highlight w:val="none"/>
              </w:rPr>
            </w:pPr>
            <w:r>
              <w:rPr>
                <w:rFonts w:hint="eastAsia"/>
                <w:highlight w:val="none"/>
              </w:rPr>
              <w:t>证券交易结算资金</w:t>
            </w:r>
          </w:p>
        </w:tc>
        <w:tc>
          <w:tcPr>
            <w:tcW w:w="4662" w:type="dxa"/>
            <w:vAlign w:val="top"/>
          </w:tcPr>
          <w:p>
            <w:pPr>
              <w:widowControl w:val="0"/>
              <w:wordWrap/>
              <w:adjustRightInd/>
              <w:snapToGrid/>
              <w:textAlignment w:val="auto"/>
              <w:outlineLvl w:val="9"/>
              <w:rPr>
                <w:rFonts w:hint="eastAsia"/>
                <w:highlight w:val="none"/>
              </w:rPr>
            </w:pPr>
            <w:r>
              <w:rPr>
                <w:rFonts w:hint="eastAsia"/>
                <w:highlight w:val="none"/>
              </w:rPr>
              <w:t>证券公司或证券管理部门的证明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8" w:type="dxa"/>
            <w:vAlign w:val="top"/>
          </w:tcPr>
          <w:p>
            <w:pPr>
              <w:widowControl w:val="0"/>
              <w:wordWrap/>
              <w:adjustRightInd/>
              <w:snapToGrid/>
              <w:textAlignment w:val="auto"/>
              <w:outlineLvl w:val="9"/>
              <w:rPr>
                <w:rFonts w:hint="eastAsia"/>
                <w:highlight w:val="none"/>
              </w:rPr>
            </w:pPr>
            <w:r>
              <w:rPr>
                <w:rFonts w:hint="eastAsia"/>
                <w:highlight w:val="none"/>
              </w:rPr>
              <w:t>期货交易保证金</w:t>
            </w:r>
          </w:p>
        </w:tc>
        <w:tc>
          <w:tcPr>
            <w:tcW w:w="4662" w:type="dxa"/>
            <w:vAlign w:val="top"/>
          </w:tcPr>
          <w:p>
            <w:pPr>
              <w:widowControl w:val="0"/>
              <w:wordWrap/>
              <w:adjustRightInd/>
              <w:snapToGrid/>
              <w:textAlignment w:val="auto"/>
              <w:outlineLvl w:val="9"/>
              <w:rPr>
                <w:rFonts w:hint="eastAsia"/>
                <w:highlight w:val="none"/>
              </w:rPr>
            </w:pPr>
            <w:r>
              <w:rPr>
                <w:rFonts w:hint="eastAsia"/>
                <w:highlight w:val="none"/>
              </w:rPr>
              <w:t>期货公司或期货管理部门的证明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8" w:type="dxa"/>
            <w:vAlign w:val="top"/>
          </w:tcPr>
          <w:p>
            <w:pPr>
              <w:widowControl w:val="0"/>
              <w:wordWrap/>
              <w:adjustRightInd/>
              <w:snapToGrid/>
              <w:textAlignment w:val="auto"/>
              <w:outlineLvl w:val="9"/>
              <w:rPr>
                <w:rFonts w:hint="eastAsia"/>
                <w:highlight w:val="none"/>
              </w:rPr>
            </w:pPr>
            <w:r>
              <w:rPr>
                <w:rFonts w:hint="eastAsia"/>
                <w:highlight w:val="none"/>
              </w:rPr>
              <w:t>金融机构存放同业资金</w:t>
            </w:r>
          </w:p>
        </w:tc>
        <w:tc>
          <w:tcPr>
            <w:tcW w:w="4662" w:type="dxa"/>
            <w:vAlign w:val="top"/>
          </w:tcPr>
          <w:p>
            <w:pPr>
              <w:widowControl w:val="0"/>
              <w:wordWrap/>
              <w:adjustRightInd/>
              <w:snapToGrid/>
              <w:textAlignment w:val="auto"/>
              <w:outlineLvl w:val="9"/>
              <w:rPr>
                <w:rFonts w:hint="eastAsia"/>
                <w:highlight w:val="none"/>
              </w:rPr>
            </w:pPr>
            <w:r>
              <w:rPr>
                <w:rFonts w:hint="eastAsia"/>
                <w:highlight w:val="none"/>
              </w:rPr>
              <w:t>双方签署的资金存放协议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8" w:type="dxa"/>
            <w:vAlign w:val="top"/>
          </w:tcPr>
          <w:p>
            <w:pPr>
              <w:widowControl w:val="0"/>
              <w:wordWrap/>
              <w:adjustRightInd/>
              <w:snapToGrid/>
              <w:spacing w:beforeLines="0" w:afterLines="0"/>
              <w:jc w:val="left"/>
              <w:textAlignment w:val="auto"/>
              <w:outlineLvl w:val="9"/>
              <w:rPr>
                <w:rFonts w:hint="eastAsia"/>
                <w:highlight w:val="none"/>
              </w:rPr>
            </w:pPr>
            <w:r>
              <w:rPr>
                <w:rFonts w:hint="eastAsia" w:ascii="Calibri" w:hAnsi="Calibri" w:eastAsia="宋体"/>
                <w:sz w:val="21"/>
                <w:highlight w:val="none"/>
              </w:rPr>
              <w:t>收入汇缴资金和业务支出资金</w:t>
            </w:r>
          </w:p>
        </w:tc>
        <w:tc>
          <w:tcPr>
            <w:tcW w:w="4662" w:type="dxa"/>
            <w:vAlign w:val="top"/>
          </w:tcPr>
          <w:p>
            <w:pPr>
              <w:widowControl w:val="0"/>
              <w:wordWrap/>
              <w:adjustRightInd/>
              <w:snapToGrid/>
              <w:textAlignment w:val="auto"/>
              <w:outlineLvl w:val="9"/>
              <w:rPr>
                <w:rFonts w:hint="eastAsia"/>
                <w:highlight w:val="none"/>
              </w:rPr>
            </w:pPr>
            <w:r>
              <w:rPr>
                <w:rFonts w:hint="eastAsia"/>
                <w:highlight w:val="none"/>
              </w:rPr>
              <w:t>基本存款账户存款人有关证明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8" w:type="dxa"/>
            <w:vAlign w:val="top"/>
          </w:tcPr>
          <w:p>
            <w:pPr>
              <w:widowControl w:val="0"/>
              <w:wordWrap/>
              <w:adjustRightInd/>
              <w:snapToGrid/>
              <w:textAlignment w:val="auto"/>
              <w:outlineLvl w:val="9"/>
              <w:rPr>
                <w:rFonts w:hint="eastAsia"/>
                <w:highlight w:val="none"/>
              </w:rPr>
            </w:pPr>
            <w:r>
              <w:rPr>
                <w:rFonts w:hint="eastAsia"/>
                <w:highlight w:val="none"/>
              </w:rPr>
              <w:t>党、团、工会设在单位的组织机构经费</w:t>
            </w:r>
          </w:p>
        </w:tc>
        <w:tc>
          <w:tcPr>
            <w:tcW w:w="4662" w:type="dxa"/>
            <w:vAlign w:val="top"/>
          </w:tcPr>
          <w:p>
            <w:pPr>
              <w:widowControl w:val="0"/>
              <w:wordWrap/>
              <w:adjustRightInd/>
              <w:snapToGrid/>
              <w:textAlignment w:val="auto"/>
              <w:outlineLvl w:val="9"/>
              <w:rPr>
                <w:rFonts w:hint="eastAsia"/>
                <w:highlight w:val="none"/>
              </w:rPr>
            </w:pPr>
            <w:r>
              <w:rPr>
                <w:rFonts w:hint="eastAsia"/>
                <w:highlight w:val="none"/>
              </w:rPr>
              <w:t>该单位或有关部门的批文或证明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8" w:type="dxa"/>
            <w:vAlign w:val="top"/>
          </w:tcPr>
          <w:p>
            <w:pPr>
              <w:widowControl w:val="0"/>
              <w:wordWrap/>
              <w:adjustRightInd/>
              <w:snapToGrid/>
              <w:textAlignment w:val="auto"/>
              <w:outlineLvl w:val="9"/>
              <w:rPr>
                <w:rFonts w:hint="eastAsia"/>
                <w:highlight w:val="none"/>
              </w:rPr>
            </w:pPr>
            <w:r>
              <w:rPr>
                <w:rFonts w:hint="eastAsia"/>
                <w:highlight w:val="none"/>
              </w:rPr>
              <w:t>其他按规定需要专项管理和使用的资金</w:t>
            </w:r>
          </w:p>
        </w:tc>
        <w:tc>
          <w:tcPr>
            <w:tcW w:w="4662" w:type="dxa"/>
            <w:vAlign w:val="top"/>
          </w:tcPr>
          <w:p>
            <w:pPr>
              <w:widowControl w:val="0"/>
              <w:wordWrap/>
              <w:adjustRightInd/>
              <w:snapToGrid/>
              <w:textAlignment w:val="auto"/>
              <w:outlineLvl w:val="9"/>
              <w:rPr>
                <w:rFonts w:hint="eastAsia"/>
                <w:highlight w:val="none"/>
              </w:rPr>
            </w:pPr>
            <w:r>
              <w:rPr>
                <w:rFonts w:hint="eastAsia"/>
                <w:highlight w:val="none"/>
              </w:rPr>
              <w:t>有关的法规、规章或政府部门的有关文件</w:t>
            </w:r>
          </w:p>
        </w:tc>
      </w:tr>
    </w:tbl>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④实行预算管理的存款人（存款人类别为机关、实行预算管理的事业单位），开立的专用存款账户为预算单位专用存款账户，还需要出具其财政主管部门同意其开立该预算单位专用存款账户的批文批复。</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⑤存款人以单位名称后加内设机构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名称开立专用存款账户时，还应出具单位内设机构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负责人的身份证件、单位授权该内设机构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开户的授权书。</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临时存款账户申请资料</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存款人应提供其驻在地主管部门同意设立临时机构的批文，纳入预算管理的临时机构还应提供财政部门同意其开户的证明。存款人只能在其驻在地开立一个临时存款账户，不得开立其他银行结算账户。</w:t>
      </w:r>
    </w:p>
    <w:p>
      <w:pPr>
        <w:spacing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rPr>
        <w:t>4.存款人申请开立预算单位专用存款账户和临时存款账户时可选择告知承诺制，采用书面承诺替代基本存款账户开户许可证。</w:t>
      </w:r>
    </w:p>
    <w:p>
      <w:pPr>
        <w:widowControl w:val="0"/>
        <w:wordWrap/>
        <w:adjustRightInd/>
        <w:snapToGrid/>
        <w:spacing w:line="540" w:lineRule="atLeas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（二）申请材料提交</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申请人开立</w:t>
      </w:r>
      <w:r>
        <w:rPr>
          <w:rFonts w:hint="eastAsia" w:ascii="仿宋_GB2312" w:hAnsi="仿宋_GB2312" w:eastAsia="仿宋_GB2312" w:cs="仿宋_GB2312"/>
          <w:sz w:val="32"/>
          <w:szCs w:val="32"/>
          <w:highlight w:val="none"/>
          <w:lang w:eastAsia="zh-CN"/>
        </w:rPr>
        <w:t>基本存款账户</w:t>
      </w:r>
      <w:r>
        <w:rPr>
          <w:rFonts w:hint="eastAsia" w:ascii="仿宋_GB2312" w:hAnsi="仿宋_GB2312" w:eastAsia="仿宋_GB2312" w:cs="仿宋_GB2312"/>
          <w:sz w:val="32"/>
          <w:szCs w:val="32"/>
          <w:highlight w:val="none"/>
        </w:rPr>
        <w:t>、临时存款账户和预算单位专用存款账户应先向银行机构提交相关资料的原件及复印件，并填制银行提供的开户申请书。</w:t>
      </w:r>
    </w:p>
    <w:p>
      <w:pPr>
        <w:widowControl w:val="0"/>
        <w:wordWrap/>
        <w:adjustRightInd/>
        <w:snapToGrid/>
        <w:spacing w:line="540" w:lineRule="atLeas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十、申请接收</w:t>
      </w:r>
    </w:p>
    <w:p>
      <w:pPr>
        <w:widowControl w:val="0"/>
        <w:wordWrap/>
        <w:adjustRightInd/>
        <w:snapToGrid/>
        <w:spacing w:line="540" w:lineRule="atLeas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（一）接收方式</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申请人开立</w:t>
      </w:r>
      <w:r>
        <w:rPr>
          <w:rFonts w:hint="eastAsia" w:ascii="仿宋_GB2312" w:hAnsi="仿宋_GB2312" w:eastAsia="仿宋_GB2312" w:cs="仿宋_GB2312"/>
          <w:sz w:val="32"/>
          <w:szCs w:val="32"/>
          <w:highlight w:val="none"/>
          <w:lang w:eastAsia="zh-CN"/>
        </w:rPr>
        <w:t>基本存款账户</w:t>
      </w:r>
      <w:r>
        <w:rPr>
          <w:rFonts w:hint="eastAsia" w:ascii="仿宋_GB2312" w:hAnsi="仿宋_GB2312" w:eastAsia="仿宋_GB2312" w:cs="仿宋_GB2312"/>
          <w:sz w:val="32"/>
          <w:szCs w:val="32"/>
          <w:highlight w:val="none"/>
        </w:rPr>
        <w:t>、临时存款账户和预算单位专用存款账户应先向银行机构提交相关资料的原件及复印件，并填制银行提供的开户申请书。银行应对存款人的开户申请书填写的事项和证明文件的真实性、完整性、合规性进行认真审查。开户申请书填写的事项齐全，符合开立</w:t>
      </w:r>
      <w:r>
        <w:rPr>
          <w:rFonts w:hint="eastAsia" w:ascii="仿宋_GB2312" w:hAnsi="仿宋_GB2312" w:eastAsia="仿宋_GB2312" w:cs="仿宋_GB2312"/>
          <w:sz w:val="32"/>
          <w:szCs w:val="32"/>
          <w:highlight w:val="none"/>
          <w:lang w:eastAsia="zh-CN"/>
        </w:rPr>
        <w:t>基本存款账户</w:t>
      </w:r>
      <w:r>
        <w:rPr>
          <w:rFonts w:hint="eastAsia" w:ascii="仿宋_GB2312" w:hAnsi="仿宋_GB2312" w:eastAsia="仿宋_GB2312" w:cs="仿宋_GB2312"/>
          <w:sz w:val="32"/>
          <w:szCs w:val="32"/>
          <w:highlight w:val="none"/>
        </w:rPr>
        <w:t>、临时存款账户和预算单位专用存款账户条件的，银行应将存款人的开户申请书、相关的证明文件和银行审核意见等开户资料报送中国人民银行</w:t>
      </w:r>
      <w:r>
        <w:rPr>
          <w:rFonts w:hint="eastAsia" w:ascii="仿宋_GB2312" w:hAnsi="仿宋_GB2312" w:eastAsia="仿宋_GB2312" w:cs="仿宋_GB2312"/>
          <w:sz w:val="32"/>
          <w:szCs w:val="32"/>
          <w:highlight w:val="none"/>
          <w:lang w:eastAsia="zh-CN"/>
        </w:rPr>
        <w:t>当地分行</w:t>
      </w:r>
      <w:r>
        <w:rPr>
          <w:rFonts w:hint="eastAsia" w:ascii="仿宋_GB2312" w:hAnsi="仿宋_GB2312" w:eastAsia="仿宋_GB2312" w:cs="仿宋_GB2312"/>
          <w:sz w:val="32"/>
          <w:szCs w:val="32"/>
          <w:highlight w:val="none"/>
        </w:rPr>
        <w:t>，经中国人民银行</w:t>
      </w:r>
      <w:r>
        <w:rPr>
          <w:rFonts w:hint="eastAsia" w:ascii="仿宋_GB2312" w:hAnsi="仿宋_GB2312" w:eastAsia="仿宋_GB2312" w:cs="仿宋_GB2312"/>
          <w:sz w:val="32"/>
          <w:szCs w:val="32"/>
          <w:highlight w:val="none"/>
          <w:lang w:eastAsia="zh-CN"/>
        </w:rPr>
        <w:t>当地分行</w:t>
      </w:r>
      <w:r>
        <w:rPr>
          <w:rFonts w:hint="eastAsia" w:ascii="仿宋_GB2312" w:hAnsi="仿宋_GB2312" w:eastAsia="仿宋_GB2312" w:cs="仿宋_GB2312"/>
          <w:sz w:val="32"/>
          <w:szCs w:val="32"/>
          <w:highlight w:val="none"/>
        </w:rPr>
        <w:t>核准后办理开户手续。</w:t>
      </w:r>
    </w:p>
    <w:p>
      <w:pPr>
        <w:widowControl w:val="0"/>
        <w:wordWrap/>
        <w:adjustRightInd/>
        <w:snapToGrid/>
        <w:spacing w:line="540" w:lineRule="atLeas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（二）办公时间：</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工作日</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广东省分行</w:t>
      </w:r>
      <w:r>
        <w:rPr>
          <w:rFonts w:hint="eastAsia" w:ascii="仿宋_GB2312" w:hAnsi="仿宋_GB2312" w:eastAsia="仿宋_GB2312" w:cs="仿宋_GB2312"/>
          <w:sz w:val="32"/>
          <w:szCs w:val="32"/>
          <w:highlight w:val="none"/>
        </w:rPr>
        <w:t>机关：</w:t>
      </w:r>
      <w:r>
        <w:rPr>
          <w:rFonts w:hint="eastAsia" w:ascii="仿宋_GB2312" w:hAnsi="仿宋_GB2312" w:eastAsia="仿宋_GB2312" w:cs="仿宋_GB2312"/>
          <w:sz w:val="32"/>
          <w:szCs w:val="32"/>
          <w:highlight w:val="none"/>
          <w:lang w:eastAsia="zh-CN"/>
        </w:rPr>
        <w:t>上午</w:t>
      </w:r>
      <w:r>
        <w:rPr>
          <w:rFonts w:hint="eastAsia" w:ascii="仿宋_GB2312" w:hAnsi="仿宋_GB2312" w:eastAsia="仿宋_GB2312" w:cs="仿宋_GB2312"/>
          <w:sz w:val="32"/>
          <w:szCs w:val="32"/>
          <w:highlight w:val="none"/>
          <w:lang w:val="en-US" w:eastAsia="zh-CN"/>
        </w:rPr>
        <w:t>8：30到12：00；下午14：00到17：30。</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广东省内各地市</w:t>
      </w:r>
      <w:r>
        <w:rPr>
          <w:rFonts w:hint="eastAsia" w:ascii="仿宋_GB2312" w:hAnsi="仿宋_GB2312" w:eastAsia="仿宋_GB2312" w:cs="仿宋_GB2312"/>
          <w:sz w:val="32"/>
          <w:szCs w:val="32"/>
          <w:highlight w:val="none"/>
          <w:lang w:eastAsia="zh-CN"/>
        </w:rPr>
        <w:t>分行</w:t>
      </w:r>
      <w:r>
        <w:rPr>
          <w:rFonts w:hint="eastAsia" w:ascii="仿宋_GB2312" w:hAnsi="仿宋_GB2312" w:eastAsia="仿宋_GB2312" w:cs="仿宋_GB2312"/>
          <w:sz w:val="32"/>
          <w:szCs w:val="32"/>
          <w:highlight w:val="none"/>
        </w:rPr>
        <w:t>办公时间具体时间以中国人民银行当（各）地分行（机构）公告为准。</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0"/>
          <w:szCs w:val="30"/>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val="en-US" w:eastAsia="zh-CN"/>
        </w:rPr>
        <w:t>一、办理基本流程</w:t>
      </w:r>
    </w:p>
    <w:p>
      <w:pPr>
        <w:widowControl w:val="0"/>
        <w:numPr>
          <w:ilvl w:val="0"/>
          <w:numId w:val="0"/>
        </w:numPr>
        <w:wordWrap/>
        <w:adjustRightInd/>
        <w:snapToGrid/>
        <w:spacing w:line="540" w:lineRule="atLeast"/>
        <w:ind w:firstLine="0" w:firstLineChars="0"/>
        <w:jc w:val="center"/>
        <w:textAlignment w:val="auto"/>
        <w:outlineLvl w:val="9"/>
        <w:rPr>
          <w:rFonts w:hint="eastAsia" w:ascii="仿宋_GB2312" w:hAnsi="仿宋_GB2312" w:eastAsia="仿宋_GB2312" w:cs="仿宋_GB2312"/>
          <w:sz w:val="30"/>
          <w:szCs w:val="30"/>
          <w:highlight w:val="none"/>
        </w:rPr>
      </w:pPr>
      <w:r>
        <w:rPr>
          <w:rFonts w:ascii="Calibri" w:hAnsi="Calibri" w:eastAsia="宋体" w:cs="黑体"/>
          <w:kern w:val="2"/>
          <w:sz w:val="21"/>
          <w:szCs w:val="24"/>
          <w:highlight w:val="none"/>
          <w:lang w:val="en-US" w:eastAsia="zh-CN" w:bidi="ar-SA"/>
        </w:rPr>
        <w:drawing>
          <wp:inline distT="0" distB="0" distL="114300" distR="114300">
            <wp:extent cx="5271770" cy="3223260"/>
            <wp:effectExtent l="0" t="0" r="508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a:blip>
                    <a:stretch>
                      <a:fillRect/>
                    </a:stretch>
                  </pic:blipFill>
                  <pic:spPr>
                    <a:xfrm>
                      <a:off x="0" y="0"/>
                      <a:ext cx="5271770" cy="3223260"/>
                    </a:xfrm>
                    <a:prstGeom prst="rect">
                      <a:avLst/>
                    </a:prstGeom>
                    <a:noFill/>
                    <a:ln>
                      <a:noFill/>
                    </a:ln>
                  </pic:spPr>
                </pic:pic>
              </a:graphicData>
            </a:graphic>
          </wp:inline>
        </w:drawing>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0"/>
          <w:szCs w:val="30"/>
          <w:highlight w:val="none"/>
        </w:rPr>
      </w:pPr>
      <w:r>
        <w:rPr>
          <w:rFonts w:hint="eastAsia" w:ascii="黑体" w:hAnsi="黑体" w:eastAsia="黑体" w:cs="黑体"/>
          <w:sz w:val="32"/>
          <w:szCs w:val="32"/>
          <w:highlight w:val="none"/>
        </w:rPr>
        <w:t>十二、办理方式</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根据《中国人民银行行政许可实施办法》（中国人民银行令〔2020〕第1号发布）第四十二条规定，银行账户开户许可证核发可适用简易程序。有关程序如下：</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提交申请：申请人到开户银行机构现场填写开户申请书，并按照本指南第八条的要求提交相关的开户材料。</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申请受理：开户银行机构将相关资料收集完整，对申请人提交书面资料的真实性、完整性和合规性进行审查，审查合格后通过人民币银行结算账户管理系统录入相关开户信息。</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材料不齐全、不符合法定形式或者存在错误不能当场更正的，人民银行应当当场或者在收到申请材料之日起2个工作日内一次告知申请人需要补正的全部内容，出具加盖本行账户管理专用章并载明日期的补正告知书。申请人拒不补正，或者自补正告知书送达之日起十日内无正当理由未补正的，退回已经收到的全部申请材料。</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申请人提出的行政许可申请存在下列情形之一的，人民银行可以不予受理，并经部门负责人批准，出具加盖本行账户管理专用章的不予受理决定书，说明不予受理的理由和依据，退回已经收到的全部申请材料：</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（一）申请事项不属于中国人民银行职权范围的；</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（二）申请人提供的补正材料不齐全、不符合法定形式的；</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（三）申请人补正后仍存在不符合受理条件的其他情形的。</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人民银行依据前款第一项不予受理的，应当即时作出不予受理的决定，并告知申请人向有关行政机关申请。</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交接：开户银行机构专人将开户材料报送人民银行当地分支机构，按照要求登记《</w:t>
      </w:r>
      <w:r>
        <w:rPr>
          <w:rFonts w:hint="eastAsia" w:ascii="仿宋_GB2312" w:hAnsi="仿宋_GB2312" w:eastAsia="仿宋_GB2312" w:cs="仿宋_GB2312"/>
          <w:sz w:val="32"/>
          <w:szCs w:val="32"/>
          <w:highlight w:val="none"/>
          <w:lang w:eastAsia="zh-CN"/>
        </w:rPr>
        <w:t>单位银行结算</w:t>
      </w:r>
      <w:r>
        <w:rPr>
          <w:rFonts w:hint="eastAsia" w:ascii="仿宋_GB2312" w:hAnsi="仿宋_GB2312" w:eastAsia="仿宋_GB2312" w:cs="仿宋_GB2312"/>
          <w:sz w:val="32"/>
          <w:szCs w:val="32"/>
          <w:highlight w:val="none"/>
        </w:rPr>
        <w:t>账户</w:t>
      </w:r>
      <w:r>
        <w:rPr>
          <w:rFonts w:hint="eastAsia" w:ascii="仿宋_GB2312" w:hAnsi="仿宋_GB2312" w:eastAsia="仿宋_GB2312" w:cs="仿宋_GB2312"/>
          <w:sz w:val="32"/>
          <w:szCs w:val="32"/>
          <w:highlight w:val="none"/>
          <w:lang w:eastAsia="zh-CN"/>
        </w:rPr>
        <w:t>资料交接</w:t>
      </w:r>
      <w:r>
        <w:rPr>
          <w:rFonts w:hint="eastAsia" w:ascii="仿宋_GB2312" w:hAnsi="仿宋_GB2312" w:eastAsia="仿宋_GB2312" w:cs="仿宋_GB2312"/>
          <w:sz w:val="32"/>
          <w:szCs w:val="32"/>
          <w:highlight w:val="none"/>
        </w:rPr>
        <w:t>清单》；人民银行受理后，在《</w:t>
      </w:r>
      <w:r>
        <w:rPr>
          <w:rFonts w:hint="eastAsia" w:ascii="仿宋_GB2312" w:hAnsi="仿宋_GB2312" w:eastAsia="仿宋_GB2312" w:cs="仿宋_GB2312"/>
          <w:sz w:val="32"/>
          <w:szCs w:val="32"/>
          <w:highlight w:val="none"/>
          <w:lang w:eastAsia="zh-CN"/>
        </w:rPr>
        <w:t>单位银行结算</w:t>
      </w:r>
      <w:r>
        <w:rPr>
          <w:rFonts w:hint="eastAsia" w:ascii="仿宋_GB2312" w:hAnsi="仿宋_GB2312" w:eastAsia="仿宋_GB2312" w:cs="仿宋_GB2312"/>
          <w:sz w:val="32"/>
          <w:szCs w:val="32"/>
          <w:highlight w:val="none"/>
        </w:rPr>
        <w:t>账户</w:t>
      </w:r>
      <w:r>
        <w:rPr>
          <w:rFonts w:hint="eastAsia" w:ascii="仿宋_GB2312" w:hAnsi="仿宋_GB2312" w:eastAsia="仿宋_GB2312" w:cs="仿宋_GB2312"/>
          <w:sz w:val="32"/>
          <w:szCs w:val="32"/>
          <w:highlight w:val="none"/>
          <w:lang w:eastAsia="zh-CN"/>
        </w:rPr>
        <w:t>资料交接</w:t>
      </w:r>
      <w:r>
        <w:rPr>
          <w:rFonts w:hint="eastAsia" w:ascii="仿宋_GB2312" w:hAnsi="仿宋_GB2312" w:eastAsia="仿宋_GB2312" w:cs="仿宋_GB2312"/>
          <w:sz w:val="32"/>
          <w:szCs w:val="32"/>
          <w:highlight w:val="none"/>
        </w:rPr>
        <w:t>清单》上签收。</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审查：人民银行对开户银行机构报送的核准类银行结算账户的相关资料复印件的完整性、合规性进行审核；对申请书基本要素、相关资料复印件进行审核，确保申请书填写要素与报送的相关资料复印件一致。</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民银行在审查过程中发现申请人提交的申请材料存在实质性问题，可能影响作出行政许可决定的，可以出具加盖账户管理专用章的申请材料修改通知书，要求申请人限期对申请材料进一步修改、完善，或者解释说明。申请人在合理期限内拒不修改、完善、解释说明，或者修改、完善、解释说明后仍存在实质性问题的，人民银行应当继续审查，不利后果由申请人承担。</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定：审核合规的，人民银行受理人员在开户申请书签署意见并加盖名章，打印开户许可证，随账户资料一并提交账户管理高级主管。账户管理高级业务主管审核无误，根据本行行长（主任）或者分管副行长（副主任）的授权，在开户许可证上加盖本行行章，并在开户申请书上加盖账户管理专用章，</w:t>
      </w:r>
      <w:r>
        <w:rPr>
          <w:rFonts w:hint="eastAsia"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单位银行结算</w:t>
      </w:r>
      <w:r>
        <w:rPr>
          <w:rFonts w:hint="eastAsia" w:ascii="仿宋_GB2312" w:hAnsi="仿宋_GB2312" w:eastAsia="仿宋_GB2312" w:cs="仿宋_GB2312"/>
          <w:sz w:val="32"/>
          <w:szCs w:val="32"/>
          <w:highlight w:val="none"/>
        </w:rPr>
        <w:t>账户</w:t>
      </w:r>
      <w:r>
        <w:rPr>
          <w:rFonts w:hint="eastAsia" w:ascii="仿宋_GB2312" w:hAnsi="仿宋_GB2312" w:eastAsia="仿宋_GB2312" w:cs="仿宋_GB2312"/>
          <w:sz w:val="32"/>
          <w:szCs w:val="32"/>
          <w:highlight w:val="none"/>
          <w:lang w:eastAsia="zh-CN"/>
        </w:rPr>
        <w:t>资料交接</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CN"/>
        </w:rPr>
        <w:t>签章，</w:t>
      </w:r>
      <w:r>
        <w:rPr>
          <w:rFonts w:hint="eastAsia" w:ascii="仿宋_GB2312" w:hAnsi="仿宋_GB2312" w:eastAsia="仿宋_GB2312" w:cs="仿宋_GB2312"/>
          <w:sz w:val="32"/>
          <w:szCs w:val="32"/>
          <w:highlight w:val="none"/>
        </w:rPr>
        <w:t>退回人民银行受理人员。人民银行受理人员整理账户资料，发放开户许可证</w:t>
      </w:r>
      <w:r>
        <w:rPr>
          <w:rFonts w:hint="eastAsia" w:ascii="仿宋_GB2312" w:hAnsi="仿宋_GB2312" w:eastAsia="仿宋_GB2312" w:cs="仿宋_GB2312"/>
          <w:sz w:val="32"/>
          <w:szCs w:val="32"/>
          <w:highlight w:val="none"/>
          <w:lang w:eastAsia="zh-CN"/>
        </w:rPr>
        <w:t>，并在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单位银行结算</w:t>
      </w:r>
      <w:r>
        <w:rPr>
          <w:rFonts w:hint="eastAsia" w:ascii="仿宋_GB2312" w:hAnsi="仿宋_GB2312" w:eastAsia="仿宋_GB2312" w:cs="仿宋_GB2312"/>
          <w:sz w:val="32"/>
          <w:szCs w:val="32"/>
          <w:highlight w:val="none"/>
        </w:rPr>
        <w:t>账户</w:t>
      </w:r>
      <w:r>
        <w:rPr>
          <w:rFonts w:hint="eastAsia" w:ascii="仿宋_GB2312" w:hAnsi="仿宋_GB2312" w:eastAsia="仿宋_GB2312" w:cs="仿宋_GB2312"/>
          <w:sz w:val="32"/>
          <w:szCs w:val="32"/>
          <w:highlight w:val="none"/>
          <w:lang w:eastAsia="zh-CN"/>
        </w:rPr>
        <w:t>资料交接</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CN"/>
        </w:rPr>
        <w:t>登记开户许可证编号</w:t>
      </w:r>
      <w:r>
        <w:rPr>
          <w:rFonts w:hint="eastAsia" w:ascii="仿宋_GB2312" w:hAnsi="仿宋_GB2312" w:eastAsia="仿宋_GB2312" w:cs="仿宋_GB2312"/>
          <w:sz w:val="32"/>
          <w:szCs w:val="32"/>
          <w:highlight w:val="none"/>
        </w:rPr>
        <w:t>。</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审核不合规的，人民银行受理人员在开户申请书签署意见、填写核准未通过的理由并加盖名章，打印不予行政许可决定书，随账户资料一并提交账户管理高级主管；账户管理高级业务主管审核无误，根据本行行长（主任）或者分管副行长（副主任）的授权，加盖本行行章，并在开户申请书上加盖账户管理专用章，在《</w:t>
      </w:r>
      <w:r>
        <w:rPr>
          <w:rFonts w:hint="eastAsia" w:ascii="仿宋_GB2312" w:hAnsi="仿宋_GB2312" w:eastAsia="仿宋_GB2312" w:cs="仿宋_GB2312"/>
          <w:sz w:val="32"/>
          <w:szCs w:val="32"/>
          <w:highlight w:val="none"/>
          <w:lang w:eastAsia="zh-CN"/>
        </w:rPr>
        <w:t>单位银行结算</w:t>
      </w:r>
      <w:r>
        <w:rPr>
          <w:rFonts w:hint="eastAsia" w:ascii="仿宋_GB2312" w:hAnsi="仿宋_GB2312" w:eastAsia="仿宋_GB2312" w:cs="仿宋_GB2312"/>
          <w:sz w:val="32"/>
          <w:szCs w:val="32"/>
          <w:highlight w:val="none"/>
        </w:rPr>
        <w:t>账户</w:t>
      </w:r>
      <w:r>
        <w:rPr>
          <w:rFonts w:hint="eastAsia" w:ascii="仿宋_GB2312" w:hAnsi="仿宋_GB2312" w:eastAsia="仿宋_GB2312" w:cs="仿宋_GB2312"/>
          <w:sz w:val="32"/>
          <w:szCs w:val="32"/>
          <w:highlight w:val="none"/>
          <w:lang w:eastAsia="zh-CN"/>
        </w:rPr>
        <w:t>资料交接</w:t>
      </w:r>
      <w:r>
        <w:rPr>
          <w:rFonts w:hint="eastAsia" w:ascii="仿宋_GB2312" w:hAnsi="仿宋_GB2312" w:eastAsia="仿宋_GB2312" w:cs="仿宋_GB2312"/>
          <w:sz w:val="32"/>
          <w:szCs w:val="32"/>
          <w:highlight w:val="none"/>
        </w:rPr>
        <w:t>清单》签章，退回人民银行受理人员。人民银行受理人员整理账户资料，发放不予行政许可决定书，退回已经收到的全部申请材料，并在《</w:t>
      </w:r>
      <w:r>
        <w:rPr>
          <w:rFonts w:hint="eastAsia" w:ascii="仿宋_GB2312" w:hAnsi="仿宋_GB2312" w:eastAsia="仿宋_GB2312" w:cs="仿宋_GB2312"/>
          <w:sz w:val="32"/>
          <w:szCs w:val="32"/>
          <w:highlight w:val="none"/>
          <w:lang w:eastAsia="zh-CN"/>
        </w:rPr>
        <w:t>单位银行结算</w:t>
      </w:r>
      <w:r>
        <w:rPr>
          <w:rFonts w:hint="eastAsia" w:ascii="仿宋_GB2312" w:hAnsi="仿宋_GB2312" w:eastAsia="仿宋_GB2312" w:cs="仿宋_GB2312"/>
          <w:sz w:val="32"/>
          <w:szCs w:val="32"/>
          <w:highlight w:val="none"/>
        </w:rPr>
        <w:t>账户</w:t>
      </w:r>
      <w:r>
        <w:rPr>
          <w:rFonts w:hint="eastAsia" w:ascii="仿宋_GB2312" w:hAnsi="仿宋_GB2312" w:eastAsia="仿宋_GB2312" w:cs="仿宋_GB2312"/>
          <w:sz w:val="32"/>
          <w:szCs w:val="32"/>
          <w:highlight w:val="none"/>
          <w:lang w:eastAsia="zh-CN"/>
        </w:rPr>
        <w:t>资料交接</w:t>
      </w:r>
      <w:r>
        <w:rPr>
          <w:rFonts w:hint="eastAsia" w:ascii="仿宋_GB2312" w:hAnsi="仿宋_GB2312" w:eastAsia="仿宋_GB2312" w:cs="仿宋_GB2312"/>
          <w:sz w:val="32"/>
          <w:szCs w:val="32"/>
          <w:highlight w:val="none"/>
        </w:rPr>
        <w:t>清单》登记不予行政许可决定书编号。</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结果送达：人民银行一般采取由开户银行机构代为送达的方式，补正告知书、不予受理决定书、开户许可证、不予行政许可决定书送交开户银行，视为送达。</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0"/>
          <w:szCs w:val="30"/>
          <w:highlight w:val="none"/>
        </w:rPr>
      </w:pPr>
      <w:r>
        <w:rPr>
          <w:rFonts w:hint="eastAsia" w:ascii="黑体" w:hAnsi="黑体" w:eastAsia="黑体" w:cs="黑体"/>
          <w:sz w:val="32"/>
          <w:szCs w:val="32"/>
          <w:highlight w:val="none"/>
        </w:rPr>
        <w:t>十三、办结时限</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人民银行受理、审查</w:t>
      </w:r>
      <w:r>
        <w:rPr>
          <w:rFonts w:hint="eastAsia" w:ascii="仿宋_GB2312" w:hAnsi="仿宋_GB2312" w:eastAsia="仿宋_GB2312" w:cs="仿宋_GB2312"/>
          <w:sz w:val="32"/>
          <w:szCs w:val="32"/>
          <w:highlight w:val="none"/>
          <w:lang w:eastAsia="zh-CN"/>
        </w:rPr>
        <w:t>基本存款账户</w:t>
      </w:r>
      <w:r>
        <w:rPr>
          <w:rFonts w:hint="eastAsia" w:ascii="仿宋_GB2312" w:hAnsi="仿宋_GB2312" w:eastAsia="仿宋_GB2312" w:cs="仿宋_GB2312"/>
          <w:sz w:val="32"/>
          <w:szCs w:val="32"/>
          <w:highlight w:val="none"/>
        </w:rPr>
        <w:t>、临时存款账户和预算单位专用存款账户的开户申请后，认为开户申请材料齐全，符合法定条件、标准的，应当在2个工作日内予以核准；不符合法定条件、标准的，在开户申请书上签署不予核准开户的意见，并说明理由。</w:t>
      </w:r>
    </w:p>
    <w:p>
      <w:pPr>
        <w:widowControl w:val="0"/>
        <w:wordWrap/>
        <w:adjustRightInd/>
        <w:snapToGrid/>
        <w:spacing w:line="540" w:lineRule="atLeas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十四、收费依据及标准</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pPr>
        <w:widowControl w:val="0"/>
        <w:wordWrap/>
        <w:adjustRightInd/>
        <w:snapToGrid/>
        <w:spacing w:line="540" w:lineRule="atLeas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十五、审批结果</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开户许可证</w:t>
      </w:r>
    </w:p>
    <w:p>
      <w:pPr>
        <w:widowControl w:val="0"/>
        <w:wordWrap/>
        <w:adjustRightInd/>
        <w:snapToGrid/>
        <w:spacing w:line="540" w:lineRule="atLeas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十六、结果送达</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人民银行作出行政许可审批决定后，银行机构按照内部工作流程要求现场领取审批结果。</w:t>
      </w:r>
    </w:p>
    <w:p>
      <w:pPr>
        <w:widowControl w:val="0"/>
        <w:wordWrap/>
        <w:adjustRightInd/>
        <w:snapToGrid/>
        <w:spacing w:line="540" w:lineRule="atLeas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十七、行政相对人权利和义务</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（一）依据《人民币银行结算账户管理办法》、《人民币银行结算账户管理办法实施细则》等，申请人依法享有以下权利：</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存款人可以自主选择银行开立银行结算账户。除国家法律、行政法规和国务院规定外，任何单位和个人不得强令存款人到指定银行开立银行结算账户。</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存款人可到</w:t>
      </w:r>
      <w:r>
        <w:rPr>
          <w:rFonts w:hint="eastAsia" w:ascii="仿宋_GB2312" w:hAnsi="仿宋_GB2312" w:eastAsia="仿宋_GB2312" w:cs="仿宋_GB2312"/>
          <w:sz w:val="32"/>
          <w:szCs w:val="32"/>
          <w:highlight w:val="none"/>
          <w:lang w:eastAsia="zh-CN"/>
        </w:rPr>
        <w:t>基本存款账户</w:t>
      </w:r>
      <w:r>
        <w:rPr>
          <w:rFonts w:hint="eastAsia" w:ascii="仿宋_GB2312" w:hAnsi="仿宋_GB2312" w:eastAsia="仿宋_GB2312" w:cs="仿宋_GB2312"/>
          <w:sz w:val="32"/>
          <w:szCs w:val="32"/>
          <w:highlight w:val="none"/>
        </w:rPr>
        <w:t>开户银行，提交基本存款账户开户许可证，使用密码查询其已经开立的所有银行结算账户的相关信息。</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（二）依据《人民币银行结算账户管理办法》、《人民币银行结算账户管理办法实施细则》等，申请人依法履行以下义务：</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银行结算账户的开立和使用应当遵守法律、行政法规，不得利用银行结算账户进行偷逃税款、逃废债务、套取现金及其他违法犯罪活动。</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存款人应按照《人民币银行结算账户管理办法》的规定使用银行结算账户办理结算业务。存款人不得出租、出借银行结算账户，不得利用银行结算账户套取银行信用。</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存款人应加强对预留银行签章的管理。单位遗失预留公章或财务专用章的，应向开户银行出具书面申请、开户登记证、营业执照等相关证明文件；更换预留公章或财务专用章时，应向开户银行出具书面申请、原预留签章的式样等相关证明文件。个人遗失或更换预留个人印章或更换签字人时，应向开户银行出具经签名确认的书面申请，以及原预留印章或签字人的个人身份证件。银行应留存相应的复印件，并凭以办理预留银行签章的变更。</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存款人应以实名开立银行结算账户，并对其出具的开户申请资料实质内容的真实性负责，法律、行政法规另有规定的除外。</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存款人应对其提供的收款依据或付款依据的真实性、合法性负责。</w:t>
      </w:r>
    </w:p>
    <w:p>
      <w:pPr>
        <w:widowControl w:val="0"/>
        <w:wordWrap/>
        <w:adjustRightInd/>
        <w:snapToGrid/>
        <w:spacing w:line="540" w:lineRule="atLeas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十八、咨询途径</w:t>
      </w:r>
    </w:p>
    <w:p>
      <w:pPr>
        <w:spacing w:line="540" w:lineRule="atLeast"/>
        <w:ind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rPr>
        <w:t>广州地区存款人，咨询电话：020-81871203。</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rPr>
        <w:t>广州地区以外存款人，咨询途径请以人民银行</w:t>
      </w: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u w:val="none"/>
        </w:rPr>
        <w:t>地分支</w:t>
      </w:r>
      <w:r>
        <w:rPr>
          <w:rFonts w:hint="eastAsia" w:ascii="仿宋_GB2312" w:hAnsi="仿宋_GB2312" w:eastAsia="仿宋_GB2312" w:cs="仿宋_GB2312"/>
          <w:sz w:val="32"/>
          <w:szCs w:val="32"/>
          <w:highlight w:val="none"/>
        </w:rPr>
        <w:t>机构公告为准。</w:t>
      </w:r>
    </w:p>
    <w:p>
      <w:pPr>
        <w:widowControl w:val="0"/>
        <w:wordWrap/>
        <w:adjustRightInd/>
        <w:snapToGrid/>
        <w:spacing w:line="540" w:lineRule="atLeas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十九、监督投诉渠道</w:t>
      </w:r>
    </w:p>
    <w:p>
      <w:pPr>
        <w:spacing w:line="540" w:lineRule="atLeast"/>
        <w:ind w:firstLine="640" w:firstLineChars="200"/>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广州地区存款人，监督投诉电话：020-81322874。</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rPr>
        <w:t>广州地区以外存款人，监督投诉渠道请以人民银行各地分支机构公告为准。</w:t>
      </w:r>
    </w:p>
    <w:p>
      <w:pPr>
        <w:widowControl w:val="0"/>
        <w:wordWrap/>
        <w:adjustRightInd/>
        <w:snapToGrid/>
        <w:spacing w:line="540" w:lineRule="atLeas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二十、办公地址和时间</w:t>
      </w:r>
    </w:p>
    <w:p>
      <w:pPr>
        <w:spacing w:line="540" w:lineRule="atLeast"/>
        <w:ind w:firstLine="640" w:firstLineChars="200"/>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eastAsia="zh-CN"/>
        </w:rPr>
        <w:t>广东省分行</w:t>
      </w:r>
      <w:r>
        <w:rPr>
          <w:rFonts w:hint="eastAsia" w:ascii="仿宋_GB2312" w:hAnsi="仿宋_GB2312" w:eastAsia="仿宋_GB2312" w:cs="仿宋_GB2312"/>
          <w:sz w:val="32"/>
          <w:szCs w:val="32"/>
          <w:highlight w:val="none"/>
          <w:u w:val="none"/>
        </w:rPr>
        <w:t>办公地址：广州市越秀区沿江西路137号（大院内）。</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广州地区以外各地分支机构办公地址：请以人民银行各地分支机构公告为准。</w:t>
      </w:r>
    </w:p>
    <w:p>
      <w:pPr>
        <w:widowControl w:val="0"/>
        <w:wordWrap/>
        <w:adjustRightInd/>
        <w:snapToGrid/>
        <w:spacing w:line="540" w:lineRule="atLeas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二十一、办理进程和结果公开查询</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人民银行暂未对社会公众开放开户行政许可办理过程及结果的查询渠道，存款人可咨询开户银行机构。</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附录：</w:t>
      </w:r>
    </w:p>
    <w:p>
      <w:pPr>
        <w:widowControl w:val="0"/>
        <w:wordWrap/>
        <w:adjustRightInd/>
        <w:snapToGrid/>
        <w:spacing w:line="540" w:lineRule="atLeast"/>
        <w:ind w:firstLine="1600" w:firstLineChars="5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1.流程图</w:t>
      </w:r>
    </w:p>
    <w:p>
      <w:pPr>
        <w:widowControl w:val="0"/>
        <w:wordWrap/>
        <w:adjustRightInd/>
        <w:snapToGrid/>
        <w:spacing w:line="540" w:lineRule="atLeast"/>
        <w:ind w:firstLine="1600" w:firstLineChars="5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广州地区核准类账户报送清单</w:t>
      </w:r>
    </w:p>
    <w:p>
      <w:pPr>
        <w:widowControl w:val="0"/>
        <w:wordWrap/>
        <w:adjustRightInd/>
        <w:snapToGrid/>
        <w:spacing w:line="540" w:lineRule="atLeast"/>
        <w:ind w:firstLine="1600" w:firstLineChars="5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3.申请材料示范文本</w:t>
      </w:r>
    </w:p>
    <w:p>
      <w:pPr>
        <w:widowControl w:val="0"/>
        <w:wordWrap/>
        <w:adjustRightInd/>
        <w:snapToGrid/>
        <w:spacing w:line="540" w:lineRule="atLeast"/>
        <w:ind w:firstLine="1600" w:firstLineChars="5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4.告知书</w:t>
      </w:r>
    </w:p>
    <w:p>
      <w:pPr>
        <w:widowControl w:val="0"/>
        <w:wordWrap/>
        <w:adjustRightInd/>
        <w:snapToGrid/>
        <w:spacing w:line="540" w:lineRule="atLeast"/>
        <w:ind w:firstLine="1600" w:firstLineChars="5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承</w:t>
      </w:r>
      <w:r>
        <w:rPr>
          <w:rFonts w:hint="eastAsia" w:ascii="仿宋_GB2312" w:hAnsi="仿宋_GB2312" w:eastAsia="仿宋_GB2312" w:cs="仿宋_GB2312"/>
          <w:sz w:val="32"/>
          <w:szCs w:val="32"/>
          <w:highlight w:val="none"/>
          <w:lang w:val="en-US" w:eastAsia="zh-CN"/>
        </w:rPr>
        <w:t>诺书</w:t>
      </w:r>
    </w:p>
    <w:p>
      <w:pPr>
        <w:widowControl w:val="0"/>
        <w:wordWrap/>
        <w:adjustRightInd/>
        <w:snapToGrid/>
        <w:spacing w:line="540" w:lineRule="atLeast"/>
        <w:ind w:firstLine="1600" w:firstLineChars="5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.常见错误示例</w:t>
      </w:r>
    </w:p>
    <w:p>
      <w:pPr>
        <w:widowControl w:val="0"/>
        <w:wordWrap/>
        <w:adjustRightInd/>
        <w:snapToGrid/>
        <w:spacing w:line="540" w:lineRule="atLeast"/>
        <w:ind w:firstLine="1600" w:firstLineChars="5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常见问题解答</w:t>
      </w:r>
    </w:p>
    <w:p>
      <w:pPr>
        <w:widowControl w:val="0"/>
        <w:wordWrap/>
        <w:adjustRightInd/>
        <w:snapToGrid/>
        <w:spacing w:line="540" w:lineRule="atLeast"/>
        <w:ind w:firstLine="1600" w:firstLineChars="500"/>
        <w:textAlignment w:val="auto"/>
        <w:outlineLvl w:val="9"/>
        <w:rPr>
          <w:rFonts w:hint="eastAsia" w:ascii="仿宋_GB2312" w:hAnsi="仿宋_GB2312" w:eastAsia="仿宋_GB2312" w:cs="仿宋_GB2312"/>
          <w:sz w:val="32"/>
          <w:szCs w:val="32"/>
          <w:highlight w:val="none"/>
          <w:lang w:eastAsia="zh-CN"/>
        </w:rPr>
      </w:pPr>
    </w:p>
    <w:p>
      <w:pPr>
        <w:widowControl w:val="0"/>
        <w:wordWrap/>
        <w:adjustRightInd/>
        <w:snapToGrid/>
        <w:spacing w:line="540" w:lineRule="atLeast"/>
        <w:ind w:firstLine="600" w:firstLineChars="200"/>
        <w:textAlignment w:val="auto"/>
        <w:outlineLvl w:val="9"/>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br w:type="page"/>
      </w:r>
    </w:p>
    <w:p>
      <w:pPr>
        <w:widowControl w:val="0"/>
        <w:wordWrap/>
        <w:adjustRightInd/>
        <w:snapToGrid/>
        <w:ind w:firstLine="420" w:firstLineChars="200"/>
        <w:textAlignment w:val="auto"/>
        <w:outlineLvl w:val="9"/>
        <w:rPr>
          <w:rFonts w:hint="eastAsia"/>
          <w:highlight w:val="none"/>
        </w:rPr>
      </w:pPr>
      <w:r>
        <w:rPr>
          <w:rFonts w:hint="eastAsia"/>
          <w:highlight w:val="none"/>
        </w:rPr>
        <w:t>附录1</w:t>
      </w:r>
    </w:p>
    <w:p>
      <w:pPr>
        <w:widowControl w:val="0"/>
        <w:wordWrap/>
        <w:adjustRightInd/>
        <w:snapToGrid/>
        <w:spacing w:beforeLines="0" w:afterLines="0"/>
        <w:ind w:firstLine="0" w:firstLineChars="0"/>
        <w:jc w:val="center"/>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流程图</w:t>
      </w:r>
    </w:p>
    <w:p>
      <w:pPr>
        <w:widowControl w:val="0"/>
        <w:wordWrap/>
        <w:adjustRightInd/>
        <w:snapToGrid/>
        <w:ind w:firstLine="0" w:firstLineChars="0"/>
        <w:textAlignment w:val="auto"/>
        <w:outlineLvl w:val="9"/>
        <w:rPr>
          <w:rFonts w:ascii="Calibri" w:hAnsi="Calibri" w:eastAsia="宋体" w:cs="黑体"/>
          <w:kern w:val="2"/>
          <w:sz w:val="21"/>
          <w:szCs w:val="24"/>
          <w:highlight w:val="none"/>
          <w:lang w:val="en-US" w:eastAsia="zh-CN" w:bidi="ar-SA"/>
        </w:rPr>
      </w:pPr>
      <w:r>
        <w:rPr>
          <w:rFonts w:ascii="Calibri" w:hAnsi="Calibri" w:eastAsia="宋体" w:cs="黑体"/>
          <w:kern w:val="2"/>
          <w:sz w:val="21"/>
          <w:szCs w:val="24"/>
          <w:highlight w:val="none"/>
          <w:lang w:val="en-US" w:eastAsia="zh-CN" w:bidi="ar-SA"/>
        </w:rPr>
        <w:drawing>
          <wp:inline distT="0" distB="0" distL="114300" distR="114300">
            <wp:extent cx="5266690" cy="2670175"/>
            <wp:effectExtent l="0" t="0" r="1016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lum/>
                    </a:blip>
                    <a:stretch>
                      <a:fillRect/>
                    </a:stretch>
                  </pic:blipFill>
                  <pic:spPr>
                    <a:xfrm>
                      <a:off x="0" y="0"/>
                      <a:ext cx="5266690" cy="2670175"/>
                    </a:xfrm>
                    <a:prstGeom prst="rect">
                      <a:avLst/>
                    </a:prstGeom>
                    <a:noFill/>
                    <a:ln>
                      <a:noFill/>
                    </a:ln>
                  </pic:spPr>
                </pic:pic>
              </a:graphicData>
            </a:graphic>
          </wp:inline>
        </w:drawing>
      </w:r>
    </w:p>
    <w:p>
      <w:pPr>
        <w:widowControl w:val="0"/>
        <w:wordWrap/>
        <w:adjustRightInd/>
        <w:snapToGrid/>
        <w:ind w:firstLine="0" w:firstLineChars="0"/>
        <w:textAlignment w:val="auto"/>
        <w:outlineLvl w:val="9"/>
        <w:rPr>
          <w:rFonts w:hint="eastAsia" w:ascii="Calibri" w:hAnsi="Calibri" w:eastAsia="宋体" w:cs="黑体"/>
          <w:kern w:val="2"/>
          <w:sz w:val="21"/>
          <w:szCs w:val="24"/>
          <w:highlight w:val="none"/>
          <w:lang w:val="en-US" w:eastAsia="zh-CN" w:bidi="ar-SA"/>
        </w:rPr>
      </w:pPr>
      <w:r>
        <w:rPr>
          <w:rFonts w:hint="eastAsia" w:ascii="Calibri" w:hAnsi="Calibri" w:eastAsia="宋体" w:cs="黑体"/>
          <w:kern w:val="2"/>
          <w:sz w:val="21"/>
          <w:szCs w:val="24"/>
          <w:highlight w:val="none"/>
          <w:lang w:val="en-US" w:eastAsia="zh-CN" w:bidi="ar-SA"/>
        </w:rPr>
        <w:br w:type="page"/>
      </w:r>
    </w:p>
    <w:p>
      <w:pPr>
        <w:widowControl w:val="0"/>
        <w:wordWrap/>
        <w:adjustRightInd/>
        <w:snapToGrid/>
        <w:ind w:firstLine="420" w:firstLineChars="200"/>
        <w:textAlignment w:val="auto"/>
        <w:outlineLvl w:val="9"/>
        <w:rPr>
          <w:rFonts w:hint="eastAsia"/>
          <w:highlight w:val="none"/>
          <w:lang w:val="en-US" w:eastAsia="zh-CN"/>
        </w:rPr>
      </w:pPr>
      <w:r>
        <w:rPr>
          <w:rFonts w:hint="eastAsia"/>
          <w:highlight w:val="none"/>
          <w:lang w:eastAsia="zh-CN"/>
        </w:rPr>
        <w:t>附件</w:t>
      </w:r>
      <w:r>
        <w:rPr>
          <w:rFonts w:hint="eastAsia"/>
          <w:highlight w:val="none"/>
          <w:lang w:val="en-US" w:eastAsia="zh-CN"/>
        </w:rPr>
        <w:t>2</w:t>
      </w:r>
    </w:p>
    <w:p>
      <w:pPr>
        <w:widowControl w:val="0"/>
        <w:wordWrap/>
        <w:adjustRightInd/>
        <w:snapToGrid/>
        <w:ind w:firstLine="420" w:firstLineChars="200"/>
        <w:textAlignment w:val="auto"/>
        <w:outlineLvl w:val="9"/>
        <w:rPr>
          <w:rFonts w:hint="eastAsia"/>
          <w:highlight w:val="none"/>
          <w:lang w:val="en-US" w:eastAsia="zh-CN"/>
        </w:rPr>
      </w:pPr>
    </w:p>
    <w:p>
      <w:pPr>
        <w:widowControl w:val="0"/>
        <w:wordWrap/>
        <w:adjustRightInd/>
        <w:snapToGrid/>
        <w:ind w:firstLine="420" w:firstLineChars="200"/>
        <w:textAlignment w:val="auto"/>
        <w:outlineLvl w:val="9"/>
        <w:rPr>
          <w:rFonts w:hint="eastAsia"/>
          <w:highlight w:val="none"/>
          <w:lang w:val="en-US" w:eastAsia="zh-CN"/>
        </w:rPr>
      </w:pPr>
      <w:r>
        <w:rPr>
          <w:rFonts w:ascii="Calibri" w:hAnsi="Calibri" w:eastAsia="宋体" w:cs="黑体"/>
          <w:kern w:val="2"/>
          <w:sz w:val="21"/>
          <w:szCs w:val="24"/>
          <w:highlight w:val="none"/>
          <w:lang w:val="en-US" w:eastAsia="zh-CN" w:bidi="ar-SA"/>
        </w:rPr>
        <w:drawing>
          <wp:inline distT="0" distB="0" distL="114300" distR="114300">
            <wp:extent cx="5037455" cy="6226175"/>
            <wp:effectExtent l="0" t="0" r="1079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lum/>
                    </a:blip>
                    <a:stretch>
                      <a:fillRect/>
                    </a:stretch>
                  </pic:blipFill>
                  <pic:spPr>
                    <a:xfrm>
                      <a:off x="0" y="0"/>
                      <a:ext cx="5037455" cy="6226175"/>
                    </a:xfrm>
                    <a:prstGeom prst="rect">
                      <a:avLst/>
                    </a:prstGeom>
                    <a:noFill/>
                    <a:ln>
                      <a:noFill/>
                    </a:ln>
                  </pic:spPr>
                </pic:pic>
              </a:graphicData>
            </a:graphic>
          </wp:inline>
        </w:drawing>
      </w:r>
    </w:p>
    <w:p>
      <w:pPr>
        <w:widowControl w:val="0"/>
        <w:wordWrap/>
        <w:adjustRightInd/>
        <w:snapToGrid/>
        <w:ind w:firstLine="0" w:firstLineChars="0"/>
        <w:textAlignment w:val="auto"/>
        <w:outlineLvl w:val="9"/>
        <w:rPr>
          <w:rFonts w:hint="eastAsia"/>
          <w:highlight w:val="none"/>
        </w:rPr>
      </w:pPr>
      <w:r>
        <w:rPr>
          <w:rFonts w:hint="eastAsia"/>
          <w:highlight w:val="none"/>
        </w:rPr>
        <w:br w:type="page"/>
      </w:r>
    </w:p>
    <w:p>
      <w:pPr>
        <w:widowControl w:val="0"/>
        <w:wordWrap/>
        <w:adjustRightInd/>
        <w:snapToGrid/>
        <w:ind w:firstLine="420" w:firstLineChars="200"/>
        <w:jc w:val="both"/>
        <w:textAlignment w:val="auto"/>
        <w:outlineLvl w:val="9"/>
        <w:rPr>
          <w:rFonts w:hint="eastAsia" w:ascii="黑体" w:hAnsi="黑体" w:eastAsia="黑体" w:cs="黑体"/>
          <w:sz w:val="32"/>
          <w:szCs w:val="32"/>
          <w:highlight w:val="none"/>
        </w:rPr>
      </w:pPr>
      <w:r>
        <w:rPr>
          <w:rFonts w:hint="eastAsia"/>
          <w:highlight w:val="none"/>
        </w:rPr>
        <w:t>附录</w:t>
      </w:r>
      <w:r>
        <w:rPr>
          <w:rFonts w:hint="eastAsia"/>
          <w:highlight w:val="none"/>
          <w:lang w:val="en-US" w:eastAsia="zh-CN"/>
        </w:rPr>
        <w:t>3</w:t>
      </w:r>
    </w:p>
    <w:p>
      <w:pPr>
        <w:widowControl w:val="0"/>
        <w:wordWrap/>
        <w:adjustRightInd/>
        <w:snapToGrid/>
        <w:spacing w:beforeLines="0" w:afterLines="0"/>
        <w:ind w:firstLine="0" w:firstLineChars="0"/>
        <w:jc w:val="center"/>
        <w:textAlignment w:val="auto"/>
        <w:outlineLvl w:val="9"/>
        <w:rPr>
          <w:rFonts w:hint="eastAsia"/>
          <w:highlight w:val="none"/>
          <w:lang w:val="en-US" w:eastAsia="zh-CN"/>
        </w:rPr>
      </w:pPr>
      <w:r>
        <w:rPr>
          <w:rFonts w:hint="eastAsia" w:ascii="黑体" w:hAnsi="黑体" w:eastAsia="黑体" w:cs="黑体"/>
          <w:sz w:val="32"/>
          <w:szCs w:val="32"/>
          <w:highlight w:val="none"/>
        </w:rPr>
        <w:t>申请材料示范文本</w:t>
      </w:r>
      <w:r>
        <w:rPr>
          <w:rFonts w:ascii="Calibri" w:hAnsi="Calibri" w:eastAsia="宋体" w:cs="黑体"/>
          <w:kern w:val="2"/>
          <w:sz w:val="21"/>
          <w:szCs w:val="24"/>
          <w:highlight w:val="none"/>
          <w:lang w:val="en-US" w:eastAsia="zh-CN" w:bidi="ar-SA"/>
        </w:rPr>
        <w:drawing>
          <wp:inline distT="0" distB="0" distL="114300" distR="114300">
            <wp:extent cx="4954905" cy="7667625"/>
            <wp:effectExtent l="0" t="0" r="1714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lum/>
                    </a:blip>
                    <a:stretch>
                      <a:fillRect/>
                    </a:stretch>
                  </pic:blipFill>
                  <pic:spPr>
                    <a:xfrm>
                      <a:off x="0" y="0"/>
                      <a:ext cx="4954905" cy="7667625"/>
                    </a:xfrm>
                    <a:prstGeom prst="rect">
                      <a:avLst/>
                    </a:prstGeom>
                    <a:noFill/>
                    <a:ln>
                      <a:noFill/>
                    </a:ln>
                  </pic:spPr>
                </pic:pic>
              </a:graphicData>
            </a:graphic>
          </wp:inline>
        </w:drawing>
      </w:r>
    </w:p>
    <w:p>
      <w:pPr>
        <w:rPr>
          <w:rFonts w:hint="eastAsia"/>
          <w:highlight w:val="none"/>
        </w:rPr>
      </w:pPr>
    </w:p>
    <w:p>
      <w:pPr>
        <w:rPr>
          <w:rFonts w:hint="eastAsia"/>
          <w:highlight w:val="none"/>
        </w:rPr>
      </w:pPr>
      <w:r>
        <w:rPr>
          <w:rFonts w:hint="eastAsia"/>
          <w:highlight w:val="none"/>
        </w:rPr>
        <w:t>附录</w:t>
      </w:r>
      <w:r>
        <w:rPr>
          <w:rFonts w:hint="eastAsia"/>
          <w:highlight w:val="none"/>
          <w:lang w:val="en-US" w:eastAsia="zh-CN"/>
        </w:rPr>
        <w:t>4</w:t>
      </w:r>
    </w:p>
    <w:p>
      <w:pPr>
        <w:jc w:val="center"/>
        <w:rPr>
          <w:rFonts w:ascii="黑体" w:hAnsi="黑体" w:eastAsia="黑体" w:cs="黑体"/>
          <w:sz w:val="44"/>
          <w:szCs w:val="44"/>
          <w:highlight w:val="none"/>
        </w:rPr>
      </w:pPr>
      <w:r>
        <w:rPr>
          <w:rFonts w:hint="eastAsia" w:ascii="黑体" w:hAnsi="黑体" w:eastAsia="黑体" w:cs="黑体"/>
          <w:sz w:val="44"/>
          <w:szCs w:val="44"/>
          <w:highlight w:val="none"/>
        </w:rPr>
        <w:t>告知书</w:t>
      </w:r>
    </w:p>
    <w:p>
      <w:pPr>
        <w:ind w:firstLine="880" w:firstLineChars="200"/>
        <w:jc w:val="center"/>
        <w:rPr>
          <w:rFonts w:ascii="黑体" w:hAnsi="黑体" w:eastAsia="黑体" w:cs="黑体"/>
          <w:sz w:val="44"/>
          <w:szCs w:val="44"/>
          <w:highlight w:val="none"/>
        </w:rPr>
      </w:pPr>
    </w:p>
    <w:p>
      <w:pPr>
        <w:spacing w:line="580" w:lineRule="exact"/>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一、行政主体基本信息</w:t>
      </w:r>
    </w:p>
    <w:p>
      <w:pPr>
        <w:spacing w:line="580" w:lineRule="exact"/>
        <w:ind w:firstLine="640" w:firstLineChars="200"/>
        <w:jc w:val="both"/>
        <w:rPr>
          <w:rFonts w:ascii="宋体" w:hAnsi="宋体" w:eastAsia="宋体" w:cs="宋体"/>
          <w:sz w:val="32"/>
          <w:szCs w:val="32"/>
          <w:highlight w:val="none"/>
        </w:rPr>
      </w:pPr>
      <w:r>
        <w:rPr>
          <w:rFonts w:hint="eastAsia" w:ascii="仿宋_GB2312" w:hAnsi="仿宋_GB2312" w:eastAsia="仿宋_GB2312" w:cs="仿宋_GB2312"/>
          <w:sz w:val="32"/>
          <w:szCs w:val="32"/>
          <w:highlight w:val="none"/>
        </w:rPr>
        <w:t>名称:中国人民银行</w:t>
      </w:r>
      <w:r>
        <w:rPr>
          <w:rFonts w:hint="eastAsia" w:ascii="宋体" w:hAnsi="宋体" w:cs="宋体"/>
          <w:sz w:val="32"/>
          <w:szCs w:val="32"/>
          <w:highlight w:val="none"/>
        </w:rPr>
        <w:t>________</w:t>
      </w:r>
    </w:p>
    <w:p>
      <w:pPr>
        <w:spacing w:line="580" w:lineRule="exact"/>
        <w:ind w:firstLine="640" w:firstLineChars="200"/>
        <w:jc w:val="both"/>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联系方式:</w:t>
      </w:r>
      <w:r>
        <w:rPr>
          <w:rFonts w:hint="eastAsia" w:ascii="宋体" w:hAnsi="宋体" w:cs="宋体"/>
          <w:sz w:val="32"/>
          <w:szCs w:val="32"/>
          <w:highlight w:val="none"/>
        </w:rPr>
        <w:t>___-____________</w:t>
      </w:r>
    </w:p>
    <w:p>
      <w:pPr>
        <w:spacing w:line="580" w:lineRule="exact"/>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二、行政主体告知</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（一）证明事项名称。</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基本存款账户开户许可证。</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（二）证明事项的证明内容。</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证明除企业外的单位具备申请开立临时存款账户和预算单位专用存款账户的资格。</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（三）证明事项的设定依据。</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1.《国务院对确需保留的行政审批项目设定行政许可的决定》（中华人民共和国国务院令第412号）附件《国务院决定对确需保留的行政审批项目设定行政许可的目录》第219项“银行账户开户许可证核发”。</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2.《中华人民共和国中国人民银行法》第三十五条第一款“中国人民银行根据履行职责的需要，有权要求银行业金融机构报送必要的资产负债表、利润表以及其他财务会计、统计报表和资料。”</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人民币银行结算账户管理办法》（中国人民银行令〔2003〕第5号发布）第十九条“存款人申请开立专用存款账户，应向银行出具其基本存款账户规定的证明文件、基本存款账户开户登记证和下列证明文件……”。</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（四）告知承诺制的适用对象。</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可自主选择是否采用告知承诺替代证明。申请人如不愿承诺或无法承诺的，应当提交本证明事项所需证明材料。存在较严重的不良信用记录或者存在曾作出虚假承诺等情形的申请人，在信用修复前不得适用告知承诺制。</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（五）承诺方式及法律效力。</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本证明事项采用书面承诺方式，申请人愿意作出承诺的，应当向当地中国人民银行分支机构提交加盖公章的承诺书原件。本证明事项必须由申请人作出承诺，不可代为承诺。</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书面承诺已经符合告知的条件、要求，并愿意承担不实承诺的法律责任的，当地中国人民银行分支机构不再要求申请人提交本证明事项所需证明材料，依据书面承诺办理相关事项。申请人在行政事项办结前，有合理理由的，可以撤回承诺申请，撤回承诺申请后申请人应当提交本证明事项所需证明材料。</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（六）行政主体的核查权力。</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申请人选择采用告知承诺方式办理行政事项的，当地中国人民银行分支机构有权根据实际情况，采用书面核查、网络核验、实地调查等方式，对申请人承诺的真实性进行核查。</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（七）承诺书公开情况</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是否公开申请人提交的承诺书：</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是</w:t>
      </w:r>
      <w:r>
        <w:rPr>
          <w:rFonts w:hint="eastAsia" w:ascii="仿宋_GB2312" w:hAnsi="仿宋_GB2312" w:eastAsia="仿宋_GB2312" w:cs="仿宋_GB2312"/>
          <w:sz w:val="32"/>
          <w:szCs w:val="32"/>
          <w:highlight w:val="none"/>
        </w:rPr>
        <w:sym w:font="Wingdings" w:char="006F"/>
      </w:r>
      <w:r>
        <w:rPr>
          <w:rFonts w:hint="eastAsia" w:ascii="仿宋_GB2312" w:hAnsi="仿宋_GB2312" w:eastAsia="仿宋_GB2312" w:cs="仿宋_GB2312"/>
          <w:sz w:val="32"/>
          <w:szCs w:val="32"/>
          <w:highlight w:val="none"/>
        </w:rPr>
        <w:t xml:space="preserve">      否</w:t>
      </w:r>
      <w:r>
        <w:rPr>
          <w:rFonts w:hint="eastAsia" w:ascii="仿宋_GB2312" w:hAnsi="仿宋_GB2312" w:eastAsia="仿宋_GB2312" w:cs="仿宋_GB2312"/>
          <w:sz w:val="32"/>
          <w:szCs w:val="32"/>
          <w:highlight w:val="none"/>
        </w:rPr>
        <w:sym w:font="Wingdings" w:char="00FE"/>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（八）不实承诺的法律责任。</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对承诺不实等违法违规行为，当地中国人民银行分支机构有权依法作出如下处理：</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1.终止行政事项办理；</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2.撤销行政许可决定；</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3.作出行政处罚等。</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申请人因承诺不实受到行政处罚的相关信息将被依法加载至金融信用信息基础数据库。</w:t>
      </w:r>
    </w:p>
    <w:p>
      <w:pPr>
        <w:spacing w:line="580" w:lineRule="exact"/>
        <w:ind w:firstLine="640" w:firstLineChars="200"/>
        <w:jc w:val="both"/>
        <w:rPr>
          <w:rFonts w:ascii="仿宋_GB2312" w:hAnsi="仿宋_GB2312" w:eastAsia="仿宋_GB2312" w:cs="仿宋_GB2312"/>
          <w:sz w:val="32"/>
          <w:szCs w:val="32"/>
          <w:highlight w:val="none"/>
        </w:rPr>
      </w:pPr>
    </w:p>
    <w:p>
      <w:pPr>
        <w:spacing w:line="580" w:lineRule="exact"/>
        <w:ind w:firstLine="640" w:firstLineChars="200"/>
        <w:jc w:val="both"/>
        <w:rPr>
          <w:rFonts w:ascii="仿宋_GB2312" w:hAnsi="仿宋_GB2312" w:eastAsia="仿宋_GB2312" w:cs="仿宋_GB2312"/>
          <w:sz w:val="32"/>
          <w:szCs w:val="32"/>
          <w:highlight w:val="none"/>
        </w:rPr>
      </w:pPr>
    </w:p>
    <w:p>
      <w:pPr>
        <w:spacing w:line="580" w:lineRule="exact"/>
        <w:ind w:firstLine="640" w:firstLineChars="200"/>
        <w:jc w:val="both"/>
        <w:rPr>
          <w:rFonts w:ascii="仿宋_GB2312" w:hAnsi="仿宋_GB2312" w:eastAsia="仿宋_GB2312" w:cs="仿宋_GB2312"/>
          <w:sz w:val="32"/>
          <w:szCs w:val="32"/>
          <w:highlight w:val="none"/>
        </w:rPr>
      </w:pPr>
    </w:p>
    <w:p>
      <w:pPr>
        <w:spacing w:line="580" w:lineRule="exact"/>
        <w:ind w:firstLine="640" w:firstLineChars="200"/>
        <w:jc w:val="both"/>
        <w:rPr>
          <w:rFonts w:ascii="仿宋_GB2312" w:hAnsi="仿宋_GB2312" w:eastAsia="仿宋_GB2312" w:cs="仿宋_GB2312"/>
          <w:sz w:val="32"/>
          <w:szCs w:val="32"/>
          <w:highlight w:val="none"/>
        </w:rPr>
      </w:pPr>
    </w:p>
    <w:p>
      <w:pPr>
        <w:spacing w:line="580" w:lineRule="exact"/>
        <w:ind w:firstLine="640" w:firstLineChars="200"/>
        <w:jc w:val="both"/>
        <w:rPr>
          <w:rFonts w:ascii="仿宋_GB2312" w:hAnsi="仿宋_GB2312" w:eastAsia="仿宋_GB2312" w:cs="仿宋_GB2312"/>
          <w:sz w:val="32"/>
          <w:szCs w:val="32"/>
          <w:highlight w:val="none"/>
        </w:rPr>
      </w:pPr>
    </w:p>
    <w:p>
      <w:pPr>
        <w:spacing w:line="580" w:lineRule="exact"/>
        <w:ind w:firstLine="3840" w:firstLineChars="1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中国人民银行当地分支机构</w:t>
      </w:r>
    </w:p>
    <w:p>
      <w:pPr>
        <w:spacing w:line="580" w:lineRule="exact"/>
        <w:ind w:firstLine="4800" w:firstLineChars="150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2"/>
          <w:szCs w:val="32"/>
          <w:highlight w:val="none"/>
        </w:rPr>
        <w:t xml:space="preserve">年   月   日      </w:t>
      </w:r>
    </w:p>
    <w:p>
      <w:pPr>
        <w:rPr>
          <w:rFonts w:ascii="黑体" w:eastAsia="黑体" w:cs="宋体"/>
          <w:bCs/>
          <w:sz w:val="32"/>
          <w:szCs w:val="32"/>
          <w:highlight w:val="none"/>
        </w:rPr>
        <w:sectPr>
          <w:footerReference r:id="rId3" w:type="default"/>
          <w:pgSz w:w="11906" w:h="16838"/>
          <w:pgMar w:top="1440" w:right="1800" w:bottom="1440" w:left="1800" w:header="851" w:footer="1418" w:gutter="0"/>
          <w:pgNumType w:start="1"/>
          <w:cols w:space="720" w:num="1"/>
          <w:docGrid w:type="lines" w:linePitch="312" w:charSpace="0"/>
        </w:sectPr>
      </w:pPr>
    </w:p>
    <w:p>
      <w:pPr>
        <w:rPr>
          <w:rFonts w:ascii="黑体" w:eastAsia="黑体" w:cs="宋体"/>
          <w:bCs/>
          <w:sz w:val="32"/>
          <w:szCs w:val="32"/>
          <w:highlight w:val="none"/>
        </w:rPr>
      </w:pPr>
      <w:r>
        <w:rPr>
          <w:rFonts w:hint="eastAsia"/>
          <w:highlight w:val="none"/>
        </w:rPr>
        <w:t>附录</w:t>
      </w:r>
      <w:r>
        <w:rPr>
          <w:rFonts w:hint="eastAsia"/>
          <w:highlight w:val="none"/>
          <w:lang w:val="en-US" w:eastAsia="zh-CN"/>
        </w:rPr>
        <w:t>5</w:t>
      </w:r>
    </w:p>
    <w:p>
      <w:pPr>
        <w:jc w:val="center"/>
        <w:rPr>
          <w:rFonts w:ascii="黑体" w:hAnsi="黑体" w:eastAsia="黑体" w:cs="黑体"/>
          <w:sz w:val="44"/>
          <w:szCs w:val="44"/>
          <w:highlight w:val="none"/>
        </w:rPr>
      </w:pPr>
      <w:r>
        <w:rPr>
          <w:rFonts w:hint="eastAsia" w:ascii="黑体" w:hAnsi="黑体" w:eastAsia="黑体" w:cs="黑体"/>
          <w:sz w:val="44"/>
          <w:szCs w:val="44"/>
          <w:highlight w:val="none"/>
        </w:rPr>
        <w:t>承诺书</w:t>
      </w:r>
    </w:p>
    <w:p>
      <w:pPr>
        <w:jc w:val="center"/>
        <w:rPr>
          <w:rFonts w:ascii="黑体" w:hAnsi="黑体" w:eastAsia="黑体" w:cs="黑体"/>
          <w:sz w:val="44"/>
          <w:szCs w:val="44"/>
          <w:highlight w:val="yellow"/>
        </w:rPr>
      </w:pPr>
    </w:p>
    <w:p>
      <w:pPr>
        <w:spacing w:line="580" w:lineRule="exact"/>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一、申请人基本信息</w:t>
      </w:r>
    </w:p>
    <w:p>
      <w:pPr>
        <w:spacing w:line="580" w:lineRule="exact"/>
        <w:ind w:firstLine="640" w:firstLineChars="200"/>
        <w:jc w:val="both"/>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名称:联系方式：</w:t>
      </w:r>
    </w:p>
    <w:p>
      <w:pPr>
        <w:spacing w:line="580" w:lineRule="exact"/>
        <w:ind w:firstLine="640" w:firstLineChars="200"/>
        <w:jc w:val="both"/>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地址：</w:t>
      </w:r>
    </w:p>
    <w:p>
      <w:pPr>
        <w:spacing w:line="580" w:lineRule="exact"/>
        <w:ind w:firstLine="640" w:firstLineChars="200"/>
        <w:jc w:val="both"/>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证件类型及编号（或者统一社会信用代码）：</w:t>
      </w:r>
    </w:p>
    <w:p>
      <w:pPr>
        <w:spacing w:line="580" w:lineRule="exact"/>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二、申请人承诺</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（一）已经知晓当地中国人民银行分支机构告知的全部内容。</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（二）自身已符合行政机关告知的条件、要求，具体情况如下：</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本单位已开立基本存款账户并由人民银行当地分支机构核发开户许可证，具备申请开立临时存款账户和预算单位专用存款账户的资格。</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基本存款账户开户许可证核发单位：</w:t>
      </w:r>
    </w:p>
    <w:p>
      <w:pPr>
        <w:spacing w:line="580" w:lineRule="exact"/>
        <w:ind w:firstLine="640" w:firstLineChars="200"/>
        <w:jc w:val="both"/>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基本存款账户核准号：</w:t>
      </w:r>
    </w:p>
    <w:p>
      <w:pPr>
        <w:spacing w:line="580" w:lineRule="exact"/>
        <w:ind w:firstLine="640" w:firstLineChars="200"/>
        <w:jc w:val="both"/>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基本存款账户账号：</w:t>
      </w:r>
    </w:p>
    <w:p>
      <w:pPr>
        <w:spacing w:line="580" w:lineRule="exact"/>
        <w:ind w:firstLine="640" w:firstLineChars="200"/>
        <w:jc w:val="both"/>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基本存款账户开户行：</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申请人作出的上述承诺属实，不存在虚假不实之处。</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（三）本告知承诺书上填写的基本信息真实、准确。</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（四）愿意承担不实承诺的法律责任。</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（五）愿意配合当地中国人民银行分支机构对申请人承诺内容等相关信息的核查工作。</w:t>
      </w:r>
    </w:p>
    <w:p>
      <w:pPr>
        <w:spacing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（六）上述承诺是申请人真实的意思表示。</w:t>
      </w:r>
    </w:p>
    <w:p>
      <w:pPr>
        <w:spacing w:line="580" w:lineRule="exact"/>
        <w:ind w:firstLine="640" w:firstLineChars="200"/>
        <w:jc w:val="both"/>
        <w:rPr>
          <w:rFonts w:ascii="仿宋_GB2312" w:hAnsi="仿宋_GB2312" w:eastAsia="仿宋_GB2312" w:cs="仿宋_GB2312"/>
          <w:sz w:val="32"/>
          <w:szCs w:val="32"/>
          <w:highlight w:val="none"/>
        </w:rPr>
      </w:pPr>
    </w:p>
    <w:p>
      <w:pPr>
        <w:spacing w:line="580" w:lineRule="exact"/>
        <w:ind w:firstLine="640" w:firstLineChars="200"/>
        <w:jc w:val="both"/>
        <w:rPr>
          <w:rFonts w:ascii="仿宋_GB2312" w:hAnsi="仿宋_GB2312" w:eastAsia="仿宋_GB2312" w:cs="仿宋_GB2312"/>
          <w:sz w:val="32"/>
          <w:szCs w:val="32"/>
          <w:highlight w:val="none"/>
        </w:rPr>
      </w:pPr>
    </w:p>
    <w:p>
      <w:pPr>
        <w:spacing w:line="580" w:lineRule="exact"/>
        <w:ind w:firstLine="5280" w:firstLineChars="1650"/>
        <w:jc w:val="both"/>
        <w:rPr>
          <w:rFonts w:ascii="仿宋_GB2312" w:hAnsi="仿宋_GB2312" w:eastAsia="仿宋_GB2312" w:cs="仿宋_GB2312"/>
          <w:sz w:val="32"/>
          <w:szCs w:val="32"/>
          <w:highlight w:val="none"/>
        </w:rPr>
      </w:pPr>
    </w:p>
    <w:p>
      <w:pPr>
        <w:spacing w:line="580" w:lineRule="exact"/>
        <w:ind w:firstLine="5280" w:firstLineChars="1650"/>
        <w:jc w:val="both"/>
        <w:rPr>
          <w:rFonts w:ascii="仿宋_GB2312" w:hAnsi="仿宋_GB2312" w:eastAsia="仿宋_GB2312" w:cs="仿宋_GB2312"/>
          <w:sz w:val="32"/>
          <w:szCs w:val="32"/>
          <w:highlight w:val="none"/>
        </w:rPr>
      </w:pPr>
    </w:p>
    <w:p>
      <w:pPr>
        <w:spacing w:line="580" w:lineRule="exact"/>
        <w:ind w:firstLine="5280" w:firstLineChars="165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（申请人公章）    </w:t>
      </w:r>
    </w:p>
    <w:p>
      <w:pPr>
        <w:spacing w:line="580" w:lineRule="exact"/>
        <w:ind w:firstLine="4960" w:firstLineChars="1550"/>
        <w:jc w:val="both"/>
        <w:rPr>
          <w:rFonts w:ascii="仿宋_GB2312" w:hAnsi="仿宋_GB2312" w:eastAsia="仿宋_GB2312" w:cs="仿宋_GB2312"/>
          <w:sz w:val="30"/>
          <w:szCs w:val="30"/>
          <w:highlight w:val="none"/>
        </w:rPr>
      </w:pPr>
      <w:r>
        <w:rPr>
          <w:rFonts w:ascii="Verdana" w:hAnsi="Verdana" w:eastAsia="仿宋_GB2312" w:cs="Verdana"/>
          <w:sz w:val="32"/>
          <w:szCs w:val="32"/>
          <w:highlight w:val="none"/>
        </w:rPr>
        <w:t>××××</w:t>
      </w:r>
      <w:r>
        <w:rPr>
          <w:rFonts w:hint="eastAsia" w:ascii="Verdana" w:hAnsi="Verdana" w:eastAsia="仿宋_GB2312" w:cs="Verdana"/>
          <w:sz w:val="32"/>
          <w:szCs w:val="32"/>
          <w:highlight w:val="none"/>
        </w:rPr>
        <w:t>年</w:t>
      </w:r>
      <w:r>
        <w:rPr>
          <w:rFonts w:ascii="Verdana" w:hAnsi="Verdana" w:eastAsia="仿宋_GB2312" w:cs="Verdana"/>
          <w:sz w:val="32"/>
          <w:szCs w:val="32"/>
          <w:highlight w:val="none"/>
        </w:rPr>
        <w:t>××</w:t>
      </w:r>
      <w:r>
        <w:rPr>
          <w:rFonts w:hint="eastAsia" w:ascii="Verdana" w:hAnsi="Verdana" w:eastAsia="仿宋_GB2312" w:cs="Verdana"/>
          <w:sz w:val="32"/>
          <w:szCs w:val="32"/>
          <w:highlight w:val="none"/>
        </w:rPr>
        <w:t>月</w:t>
      </w:r>
      <w:r>
        <w:rPr>
          <w:rFonts w:ascii="Verdana" w:hAnsi="Verdana" w:eastAsia="仿宋_GB2312" w:cs="Verdana"/>
          <w:sz w:val="32"/>
          <w:szCs w:val="32"/>
          <w:highlight w:val="none"/>
        </w:rPr>
        <w:t>××</w:t>
      </w:r>
      <w:r>
        <w:rPr>
          <w:rFonts w:hint="eastAsia" w:ascii="Verdana" w:hAnsi="Verdana" w:eastAsia="仿宋_GB2312" w:cs="Verdana"/>
          <w:sz w:val="32"/>
          <w:szCs w:val="32"/>
          <w:highlight w:val="none"/>
        </w:rPr>
        <w:t xml:space="preserve">日  </w:t>
      </w:r>
    </w:p>
    <w:p>
      <w:pPr>
        <w:spacing w:line="580" w:lineRule="exact"/>
        <w:ind w:firstLine="200"/>
        <w:jc w:val="both"/>
        <w:rPr>
          <w:rFonts w:ascii="黑体" w:eastAsia="黑体" w:cs="宋体"/>
          <w:bCs/>
          <w:sz w:val="32"/>
          <w:szCs w:val="32"/>
          <w:highlight w:val="none"/>
        </w:rPr>
        <w:sectPr>
          <w:footerReference r:id="rId4" w:type="default"/>
          <w:pgSz w:w="11906" w:h="16838"/>
          <w:pgMar w:top="1440" w:right="1800" w:bottom="1440" w:left="1800" w:header="851" w:footer="1418" w:gutter="0"/>
          <w:pgNumType w:start="1"/>
          <w:cols w:space="720" w:num="1"/>
          <w:docGrid w:type="lines" w:linePitch="312" w:charSpace="0"/>
        </w:sectPr>
      </w:pPr>
    </w:p>
    <w:p>
      <w:pPr>
        <w:widowControl w:val="0"/>
        <w:wordWrap/>
        <w:adjustRightInd/>
        <w:snapToGrid/>
        <w:ind w:firstLine="0" w:firstLineChars="0"/>
        <w:jc w:val="both"/>
        <w:textAlignment w:val="auto"/>
        <w:outlineLvl w:val="9"/>
        <w:rPr>
          <w:rFonts w:hint="eastAsia"/>
          <w:highlight w:val="none"/>
        </w:rPr>
      </w:pPr>
    </w:p>
    <w:p>
      <w:pPr>
        <w:widowControl w:val="0"/>
        <w:wordWrap/>
        <w:adjustRightInd/>
        <w:snapToGrid/>
        <w:textAlignment w:val="auto"/>
        <w:outlineLvl w:val="9"/>
        <w:rPr>
          <w:rFonts w:hint="eastAsia"/>
          <w:highlight w:val="none"/>
          <w:lang w:val="en-US"/>
        </w:rPr>
      </w:pPr>
      <w:r>
        <w:rPr>
          <w:rFonts w:hint="eastAsia"/>
          <w:highlight w:val="none"/>
          <w:lang w:val="en-US" w:eastAsia="zh-CN"/>
        </w:rPr>
        <w:t xml:space="preserve">    </w:t>
      </w:r>
      <w:r>
        <w:rPr>
          <w:rFonts w:hint="eastAsia"/>
          <w:highlight w:val="none"/>
        </w:rPr>
        <w:t>附录</w:t>
      </w:r>
      <w:r>
        <w:rPr>
          <w:rFonts w:hint="eastAsia"/>
          <w:highlight w:val="none"/>
          <w:lang w:val="en-US" w:eastAsia="zh-CN"/>
        </w:rPr>
        <w:t>6</w:t>
      </w:r>
    </w:p>
    <w:p>
      <w:pPr>
        <w:widowControl w:val="0"/>
        <w:wordWrap/>
        <w:adjustRightInd/>
        <w:snapToGrid/>
        <w:spacing w:beforeLines="0" w:afterLines="0"/>
        <w:ind w:firstLine="0" w:firstLineChars="0"/>
        <w:jc w:val="center"/>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常见错误示例</w:t>
      </w:r>
    </w:p>
    <w:p>
      <w:pPr>
        <w:widowControl w:val="0"/>
        <w:wordWrap/>
        <w:adjustRightInd/>
        <w:snapToGrid/>
        <w:spacing w:line="540" w:lineRule="atLeast"/>
        <w:ind w:firstLine="643" w:firstLineChars="200"/>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错误一：存款人已经开立基本存款账户，想申请开立第二个基本存款账户。</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根据《人民币银行结算账户管理办法》，存款人只能开立一个基本存款账户。由于此前存款人已经开立了一个基本存款账户，因此商业银行反馈已经开立过基本存款账户，不能再开立。</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处理方法：存款人应先撤销原已开立的基本存款账户，再向意向开户的商业银行提出基本存款账户开立申请。</w:t>
      </w:r>
    </w:p>
    <w:p>
      <w:pPr>
        <w:widowControl w:val="0"/>
        <w:wordWrap/>
        <w:adjustRightInd/>
        <w:snapToGrid/>
        <w:spacing w:line="540" w:lineRule="atLeast"/>
        <w:ind w:firstLine="643"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错误二：存款人已在商业银行营业机构开立一般存款账户，想在同一营业机构再开立基本存款账户。</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根据《人民币银行结算账户管理办法》，一般存款账户是存款人在基本存款账户开户银行以外的银行营业机构开立的银行结算账户。</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因此，如果该银行营业机构已经开立了一般存款账户，就不能再开立基本存款账户。</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处理方法：存款人应先撤销该银行营业机构已经开立的一般存款账户，再申请开立基本存款账户。</w:t>
      </w:r>
    </w:p>
    <w:p>
      <w:pPr>
        <w:widowControl w:val="0"/>
        <w:wordWrap/>
        <w:adjustRightInd/>
        <w:snapToGrid/>
        <w:spacing w:line="540" w:lineRule="atLeast"/>
        <w:ind w:firstLine="643" w:firstLineChars="200"/>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错误三：存款人有其他久悬银行结算账户，想再开立新账户、变更正常使用状态的账户，或者撤销其基本存款账户。</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中国人民银行关于规范人民币银行结算账户管理有关问题的通知》（银发〔2006〕71号）规定，存款人有久悬银行账户的，银行不得为其办理其他银行结算账户的开立和变更业务。因此，如果存款人有其他久悬银行结算账户，就不能再开立、变更账户，或者不能撤销基本存款账户。</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处理方法：存款人应先撤销存在的久悬银行结算账户，再申请开立新的账户、变更正常使用状态的账户，或撤销基本存款账户。</w:t>
      </w:r>
    </w:p>
    <w:p>
      <w:pPr>
        <w:widowControl w:val="0"/>
        <w:wordWrap/>
        <w:adjustRightInd/>
        <w:snapToGrid/>
        <w:spacing w:line="540" w:lineRule="atLeast"/>
        <w:ind w:firstLine="643"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错误四：存款人以“转户”原因撤销并申请重新开立基本存款账户，但未提交原基本存款账户开户核准号。</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人民币银行结算账户管理系统业务处理办法》，存款人因“转户”原因撤销基本存款账户后申请重新开立基本存款账户的，还应提交其原基本存款账户开户许可证核准号。因此，存款人如果以“转户”原因撤销基本存款账户后申请重新开立基本存款账户时，未提供</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原基本存款账户开户核准号，就不能开立。</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处理方法：存款人因“转户”原因撤销基本存款账户后申请重新开立基本存款账户的，应提交其原基本存款账户开户许可证核准号。商业银行在办理此类业务时，应在账户管理系统录入原基本存款账户开户核准号，同时在《开立单位结算账户申请书》中注明原基本存款账户开户核准号。</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widowControl w:val="0"/>
        <w:wordWrap/>
        <w:adjustRightInd/>
        <w:snapToGrid/>
        <w:ind w:firstLine="420" w:firstLineChars="200"/>
        <w:textAlignment w:val="auto"/>
        <w:outlineLvl w:val="9"/>
        <w:rPr>
          <w:rFonts w:hint="eastAsia"/>
          <w:highlight w:val="none"/>
        </w:rPr>
      </w:pPr>
      <w:r>
        <w:rPr>
          <w:rFonts w:hint="eastAsia"/>
          <w:highlight w:val="none"/>
        </w:rPr>
        <w:t>附录</w:t>
      </w:r>
      <w:r>
        <w:rPr>
          <w:rFonts w:hint="eastAsia"/>
          <w:highlight w:val="none"/>
          <w:lang w:val="en-US" w:eastAsia="zh-CN"/>
        </w:rPr>
        <w:t>7</w:t>
      </w:r>
    </w:p>
    <w:p>
      <w:pPr>
        <w:widowControl w:val="0"/>
        <w:wordWrap/>
        <w:adjustRightInd/>
        <w:snapToGrid/>
        <w:ind w:firstLine="640" w:firstLineChars="200"/>
        <w:jc w:val="center"/>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常见问题解答</w:t>
      </w:r>
    </w:p>
    <w:p>
      <w:pPr>
        <w:widowControl w:val="0"/>
        <w:wordWrap/>
        <w:adjustRightInd/>
        <w:snapToGrid/>
        <w:spacing w:line="540" w:lineRule="atLeast"/>
        <w:ind w:firstLine="643" w:firstLineChars="200"/>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一、哪些人民币银行结算账户需经人民银行核准？</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需经人行核准的人民币银行结算账户是指：（一）机关、社会团体、部队、事业单位、单位设立的独立核算的附属机构、其他组织基本存款账户；（二）临时机构临时存款账户；（三）预算单位专用存款账户。经人民银行核准后的以上账户，分别颁发基本存款账户开户许可证、临时存款账户开户许可证和专用存款账户开户许可证。</w:t>
      </w:r>
    </w:p>
    <w:p>
      <w:pPr>
        <w:widowControl w:val="0"/>
        <w:wordWrap/>
        <w:adjustRightInd/>
        <w:snapToGrid/>
        <w:spacing w:line="540" w:lineRule="atLeast"/>
        <w:ind w:firstLine="643" w:firstLineChars="200"/>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二、哪些存款人可以申请开立基本存款账户？</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人民币银行结算账户管理办法》第十一条对申请开立基本存款账户的存款人的身份资格进行了明确的规定。根据规定，具备开立基本存款账户资格的存款人大部分是具有民事权利能力和民事行为能力、并依法享有民事权利和承担民事义务的法人和其它组织，包括企业法人、机关、事业单位、社会团体、军队、武警部队、民办非企业组织（如不以盈利为目的的民办学校、福利院、医院）等。同时，考虑到有些单位虽然不是法人组织，但具有独立核算资格，有自主办理资金结算的需要，因此，《人民币银行结算账户管理办法》也允许其开立基本存款账户，主要包括非法人企业（如具有营业执照的企业集团下属的分公司）、外国驻华机构、单位设立的独立核算的附属机构（如单位附属独立核算的食堂、招待所、幼儿园）等。（</w:t>
      </w:r>
      <w:r>
        <w:rPr>
          <w:rFonts w:hint="eastAsia" w:ascii="仿宋_GB2312" w:hAnsi="仿宋_GB2312" w:eastAsia="仿宋_GB2312" w:cs="仿宋_GB2312"/>
          <w:sz w:val="32"/>
          <w:szCs w:val="32"/>
          <w:highlight w:val="none"/>
          <w:lang w:val="en-US" w:eastAsia="zh-CN"/>
        </w:rPr>
        <w:t>企业法人、企业非法人和个体工商户存款人已经取消核准制，改为备案制）</w:t>
      </w:r>
    </w:p>
    <w:p>
      <w:pPr>
        <w:widowControl w:val="0"/>
        <w:wordWrap/>
        <w:adjustRightInd/>
        <w:snapToGrid/>
        <w:spacing w:line="540" w:lineRule="atLeast"/>
        <w:ind w:firstLine="643" w:firstLineChars="200"/>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三、存款人或银行提供虚假开户资料应承担哪些责任？</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（一）存款人应以实名开立银行结算账户，并对其出具的开户申请资料内容的真实性负责。银行应对存款人开户申请资料的真实性、完整性和合规性进行审查。</w:t>
      </w:r>
    </w:p>
    <w:p>
      <w:pPr>
        <w:widowControl w:val="0"/>
        <w:wordWrap/>
        <w:adjustRightInd/>
        <w:snapToGrid/>
        <w:spacing w:line="540" w:lineRule="atLeas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存款人伪造、变造证明文件欺骗银行开立银行结算账户，根据《人民币银行结算账户管理办法》第六十四条，对非经营性的存款人，给予警告并处1000元的罚款；对经营性的存款人，给予警告并处1万元以上3万元以下的罚款；构成犯罪的，移交司法机关依法追究刑事责任。</w:t>
      </w:r>
    </w:p>
    <w:p>
      <w:pPr>
        <w:widowControl w:val="0"/>
        <w:wordWrap/>
        <w:adjustRightInd/>
        <w:snapToGrid/>
        <w:spacing w:line="540" w:lineRule="atLeast"/>
        <w:ind w:firstLine="640" w:firstLineChars="200"/>
        <w:textAlignment w:val="auto"/>
        <w:outlineLvl w:val="9"/>
        <w:rPr>
          <w:rFonts w:hint="eastAsia" w:ascii="仿宋" w:hAnsi="仿宋" w:eastAsia="仿宋" w:cs="仿宋"/>
          <w:sz w:val="24"/>
          <w:szCs w:val="24"/>
          <w:highlight w:val="none"/>
          <w:lang w:val="en-US" w:eastAsia="zh-CN"/>
        </w:rPr>
      </w:pPr>
      <w:r>
        <w:rPr>
          <w:rFonts w:hint="eastAsia" w:ascii="仿宋_GB2312" w:hAnsi="仿宋_GB2312" w:eastAsia="仿宋_GB2312" w:cs="仿宋_GB2312"/>
          <w:sz w:val="32"/>
          <w:szCs w:val="32"/>
          <w:highlight w:val="none"/>
          <w:lang w:eastAsia="zh-CN"/>
        </w:rPr>
        <w:t>（三）银行提供虚假开户申请资料欺骗人民银行许可开立基本存款账户，将根据《人民币银行结算账户管理办法》第六十七条给予警告，并处5000元以上3万元以下的罚款；对该银行直接负责的高级管理人、其他直接负责的主管人员、直接责任人员构成犯罪的，移交司法机关依法追究刑事责任。</w:t>
      </w:r>
    </w:p>
    <w:p>
      <w:pPr>
        <w:widowControl w:val="0"/>
        <w:wordWrap/>
        <w:adjustRightInd/>
        <w:snapToGrid/>
        <w:ind w:firstLine="480" w:firstLineChars="200"/>
        <w:textAlignment w:val="auto"/>
        <w:outlineLvl w:val="9"/>
        <w:rPr>
          <w:rFonts w:hint="eastAsia" w:ascii="仿宋" w:hAnsi="仿宋" w:eastAsia="仿宋" w:cs="仿宋"/>
          <w:sz w:val="24"/>
          <w:szCs w:val="24"/>
          <w:highlight w:val="none"/>
          <w:lang w:val="en-US" w:eastAsia="zh-CN"/>
        </w:rPr>
      </w:pPr>
    </w:p>
    <w:p>
      <w:pPr>
        <w:widowControl w:val="0"/>
        <w:wordWrap/>
        <w:adjustRightInd/>
        <w:snapToGrid/>
        <w:ind w:firstLine="480" w:firstLineChars="200"/>
        <w:textAlignment w:val="auto"/>
        <w:outlineLvl w:val="9"/>
        <w:rPr>
          <w:rFonts w:hint="eastAsia" w:ascii="仿宋" w:hAnsi="仿宋" w:eastAsia="仿宋" w:cs="仿宋"/>
          <w:sz w:val="24"/>
          <w:szCs w:val="24"/>
          <w:highlight w:val="none"/>
          <w:lang w:val="en-US" w:eastAsia="zh-CN"/>
        </w:rPr>
      </w:pPr>
    </w:p>
    <w:p>
      <w:pPr>
        <w:widowControl w:val="0"/>
        <w:wordWrap/>
        <w:adjustRightInd/>
        <w:snapToGrid/>
        <w:ind w:firstLine="480" w:firstLineChars="200"/>
        <w:textAlignment w:val="auto"/>
        <w:outlineLvl w:val="9"/>
        <w:rPr>
          <w:rFonts w:hint="eastAsia" w:ascii="仿宋" w:hAnsi="仿宋" w:eastAsia="仿宋" w:cs="仿宋"/>
          <w:sz w:val="24"/>
          <w:szCs w:val="24"/>
          <w:highlight w:val="none"/>
          <w:lang w:val="en-US" w:eastAsia="zh-CN"/>
        </w:rPr>
      </w:pPr>
    </w:p>
    <w:p>
      <w:pPr>
        <w:widowControl w:val="0"/>
        <w:wordWrap/>
        <w:adjustRightInd/>
        <w:snapToGrid/>
        <w:ind w:firstLine="480" w:firstLineChars="200"/>
        <w:textAlignment w:val="auto"/>
        <w:outlineLvl w:val="9"/>
        <w:rPr>
          <w:rFonts w:hint="eastAsia" w:ascii="仿宋" w:hAnsi="仿宋" w:eastAsia="仿宋" w:cs="仿宋"/>
          <w:sz w:val="24"/>
          <w:szCs w:val="24"/>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意简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1"/>
        <w:szCs w:val="21"/>
      </w:rPr>
    </w:pPr>
    <w:r>
      <w:rPr>
        <w:rFonts w:ascii="Times New Roman" w:hAnsi="Times New Roman" w:eastAsia="Arial" w:cs="Arial"/>
        <w:snapToGrid w:val="0"/>
        <w:color w:val="000000"/>
        <w:kern w:val="2"/>
        <w:sz w:val="21"/>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rPr>
                              <w:rFonts w:ascii="宋体" w:hAnsi="宋体"/>
                              <w:sz w:val="21"/>
                              <w:szCs w:val="21"/>
                            </w:rPr>
                            <w:fldChar w:fldCharType="begin"/>
                          </w:r>
                          <w:r>
                            <w:rPr>
                              <w:rFonts w:ascii="宋体" w:hAnsi="宋体" w:eastAsia="宋体"/>
                              <w:sz w:val="21"/>
                              <w:szCs w:val="21"/>
                            </w:rPr>
                            <w:instrText xml:space="preserve"> PAGE   \* MERGEFORMAT </w:instrText>
                          </w:r>
                          <w:r>
                            <w:rPr>
                              <w:rFonts w:ascii="宋体" w:hAnsi="宋体"/>
                              <w:sz w:val="21"/>
                              <w:szCs w:val="21"/>
                            </w:rPr>
                            <w:fldChar w:fldCharType="separate"/>
                          </w:r>
                          <w:r>
                            <w:t>1</w:t>
                          </w:r>
                          <w:r>
                            <w:rPr>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O3TM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c7dMyQEAAJkDAAAOAAAAAAAAAAEAIAAAAB4BAABkcnMvZTJvRG9j&#10;LnhtbFBLBQYAAAAABgAGAFkBAABZBQAAAAA=&#10;">
              <v:fill on="f" focussize="0,0"/>
              <v:stroke on="f"/>
              <v:imagedata o:title=""/>
              <o:lock v:ext="edit" aspectratio="f"/>
              <v:textbox inset="0mm,0mm,0mm,0mm" style="mso-fit-shape-to-text:t;">
                <w:txbxContent>
                  <w:p>
                    <w:pPr>
                      <w:pStyle w:val="4"/>
                      <w:jc w:val="center"/>
                    </w:pPr>
                    <w:r>
                      <w:rPr>
                        <w:rFonts w:ascii="宋体" w:hAnsi="宋体"/>
                        <w:sz w:val="21"/>
                        <w:szCs w:val="21"/>
                      </w:rPr>
                      <w:fldChar w:fldCharType="begin"/>
                    </w:r>
                    <w:r>
                      <w:rPr>
                        <w:rFonts w:ascii="宋体" w:hAnsi="宋体" w:eastAsia="宋体"/>
                        <w:sz w:val="21"/>
                        <w:szCs w:val="21"/>
                      </w:rPr>
                      <w:instrText xml:space="preserve"> PAGE   \* MERGEFORMAT </w:instrText>
                    </w:r>
                    <w:r>
                      <w:rPr>
                        <w:rFonts w:ascii="宋体" w:hAnsi="宋体"/>
                        <w:sz w:val="21"/>
                        <w:szCs w:val="21"/>
                      </w:rPr>
                      <w:fldChar w:fldCharType="separate"/>
                    </w:r>
                    <w:r>
                      <w:t>1</w:t>
                    </w:r>
                    <w:r>
                      <w:rPr>
                        <w:rFonts w:ascii="宋体" w:hAnsi="宋体"/>
                        <w:sz w:val="21"/>
                        <w:szCs w:val="21"/>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1"/>
        <w:szCs w:val="21"/>
      </w:rPr>
    </w:pPr>
    <w:r>
      <w:rPr>
        <w:rFonts w:ascii="Times New Roman" w:hAnsi="Times New Roman" w:eastAsia="Arial" w:cs="Arial"/>
        <w:snapToGrid w:val="0"/>
        <w:color w:val="000000"/>
        <w:kern w:val="2"/>
        <w:sz w:val="21"/>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Quad Arrow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rPr>
                              <w:rFonts w:ascii="宋体" w:hAnsi="宋体"/>
                              <w:sz w:val="21"/>
                              <w:szCs w:val="21"/>
                            </w:rPr>
                            <w:fldChar w:fldCharType="begin"/>
                          </w:r>
                          <w:r>
                            <w:rPr>
                              <w:rFonts w:ascii="宋体" w:hAnsi="宋体" w:eastAsia="宋体"/>
                              <w:sz w:val="21"/>
                              <w:szCs w:val="21"/>
                            </w:rPr>
                            <w:instrText xml:space="preserve"> PAGE   \* MERGEFORMAT </w:instrText>
                          </w:r>
                          <w:r>
                            <w:rPr>
                              <w:rFonts w:ascii="宋体" w:hAnsi="宋体"/>
                              <w:sz w:val="21"/>
                              <w:szCs w:val="21"/>
                            </w:rPr>
                            <w:fldChar w:fldCharType="separate"/>
                          </w:r>
                          <w:r>
                            <w:t>1</w:t>
                          </w:r>
                          <w:r>
                            <w:rPr>
                              <w:rFonts w:ascii="宋体" w:hAnsi="宋体"/>
                              <w:sz w:val="21"/>
                              <w:szCs w:val="21"/>
                            </w:rPr>
                            <w:fldChar w:fldCharType="end"/>
                          </w:r>
                        </w:p>
                      </w:txbxContent>
                    </wps:txbx>
                    <wps:bodyPr wrap="none" lIns="0" tIns="0" rIns="0" bIns="0" upright="1">
                      <a:spAutoFit/>
                    </wps:bodyPr>
                  </wps:wsp>
                </a:graphicData>
              </a:graphic>
            </wp:anchor>
          </w:drawing>
        </mc:Choice>
        <mc:Fallback>
          <w:pict>
            <v:shape id="Quad Arrow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EveGS68AQAAmgMAAA4AAAAAAAAAAQAgAAAAHgEAAGRycy9lMm9Eb2MueG1sUEsFBgAAAAAG&#10;AAYAWQEAAEwFAAAAAA==&#10;">
              <v:fill on="f" focussize="0,0"/>
              <v:stroke on="f"/>
              <v:imagedata o:title=""/>
              <o:lock v:ext="edit" aspectratio="f"/>
              <v:textbox inset="0mm,0mm,0mm,0mm" style="mso-fit-shape-to-text:t;">
                <w:txbxContent>
                  <w:p>
                    <w:pPr>
                      <w:pStyle w:val="4"/>
                      <w:jc w:val="center"/>
                    </w:pPr>
                    <w:r>
                      <w:rPr>
                        <w:rFonts w:ascii="宋体" w:hAnsi="宋体"/>
                        <w:sz w:val="21"/>
                        <w:szCs w:val="21"/>
                      </w:rPr>
                      <w:fldChar w:fldCharType="begin"/>
                    </w:r>
                    <w:r>
                      <w:rPr>
                        <w:rFonts w:ascii="宋体" w:hAnsi="宋体" w:eastAsia="宋体"/>
                        <w:sz w:val="21"/>
                        <w:szCs w:val="21"/>
                      </w:rPr>
                      <w:instrText xml:space="preserve"> PAGE   \* MERGEFORMAT </w:instrText>
                    </w:r>
                    <w:r>
                      <w:rPr>
                        <w:rFonts w:ascii="宋体" w:hAnsi="宋体"/>
                        <w:sz w:val="21"/>
                        <w:szCs w:val="21"/>
                      </w:rPr>
                      <w:fldChar w:fldCharType="separate"/>
                    </w:r>
                    <w:r>
                      <w:t>1</w:t>
                    </w:r>
                    <w:r>
                      <w:rPr>
                        <w:rFonts w:ascii="宋体" w:hAnsi="宋体"/>
                        <w:sz w:val="21"/>
                        <w:szCs w:val="21"/>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ZTU0YTU3Y2M5MGRiNTQ0ZmRiMzJhNGJhNTgyYmUifQ=="/>
  </w:docVars>
  <w:rsids>
    <w:rsidRoot w:val="00172A27"/>
    <w:rsid w:val="00D20D07"/>
    <w:rsid w:val="013E4C0B"/>
    <w:rsid w:val="03205646"/>
    <w:rsid w:val="13437830"/>
    <w:rsid w:val="1C9F785B"/>
    <w:rsid w:val="1D005A41"/>
    <w:rsid w:val="225737E3"/>
    <w:rsid w:val="229876AB"/>
    <w:rsid w:val="23062D9E"/>
    <w:rsid w:val="239F199D"/>
    <w:rsid w:val="31CD1A8A"/>
    <w:rsid w:val="31D33C78"/>
    <w:rsid w:val="32F55FB9"/>
    <w:rsid w:val="33EC30BD"/>
    <w:rsid w:val="34193B54"/>
    <w:rsid w:val="343C2FBD"/>
    <w:rsid w:val="37BE315D"/>
    <w:rsid w:val="39060ECC"/>
    <w:rsid w:val="3C6F35D0"/>
    <w:rsid w:val="3CE80B3B"/>
    <w:rsid w:val="4448718F"/>
    <w:rsid w:val="46AA29A7"/>
    <w:rsid w:val="46AC70BE"/>
    <w:rsid w:val="476D0DB7"/>
    <w:rsid w:val="4A306C50"/>
    <w:rsid w:val="4C245A80"/>
    <w:rsid w:val="4CAA6052"/>
    <w:rsid w:val="4D043DAD"/>
    <w:rsid w:val="4DEB4079"/>
    <w:rsid w:val="4E1813BA"/>
    <w:rsid w:val="4EC05931"/>
    <w:rsid w:val="537546C0"/>
    <w:rsid w:val="564D6A83"/>
    <w:rsid w:val="574C4C8A"/>
    <w:rsid w:val="57B95F79"/>
    <w:rsid w:val="5D6809AA"/>
    <w:rsid w:val="5E1A7440"/>
    <w:rsid w:val="602B06FF"/>
    <w:rsid w:val="606B2AC2"/>
    <w:rsid w:val="62DC3FA4"/>
    <w:rsid w:val="634B5090"/>
    <w:rsid w:val="64EB71FE"/>
    <w:rsid w:val="69696E24"/>
    <w:rsid w:val="6BCC3695"/>
    <w:rsid w:val="6F965B0D"/>
    <w:rsid w:val="75811877"/>
    <w:rsid w:val="767D4FF2"/>
    <w:rsid w:val="77C33D3D"/>
    <w:rsid w:val="78D03B15"/>
    <w:rsid w:val="791B4033"/>
    <w:rsid w:val="7926176C"/>
    <w:rsid w:val="7B1511F6"/>
    <w:rsid w:val="7DE60402"/>
    <w:rsid w:val="7E7072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Char"/>
    <w:link w:val="2"/>
    <w:qFormat/>
    <w:uiPriority w:val="0"/>
    <w:rPr>
      <w:b/>
      <w:kern w:val="44"/>
      <w:sz w:val="44"/>
    </w:rPr>
  </w:style>
  <w:style w:type="character" w:customStyle="1" w:styleId="10">
    <w:name w:val="font31"/>
    <w:basedOn w:val="8"/>
    <w:qFormat/>
    <w:uiPriority w:val="0"/>
    <w:rPr>
      <w:rFonts w:hint="eastAsia" w:ascii="宋体" w:hAnsi="宋体" w:eastAsia="宋体" w:cs="宋体"/>
      <w:color w:val="000000"/>
      <w:sz w:val="32"/>
      <w:szCs w:val="32"/>
      <w:u w:val="single"/>
    </w:rPr>
  </w:style>
  <w:style w:type="character" w:customStyle="1" w:styleId="11">
    <w:name w:val="font21"/>
    <w:basedOn w:val="8"/>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9064</Words>
  <Characters>9200</Characters>
  <Lines>0</Lines>
  <Paragraphs>0</Paragraphs>
  <TotalTime>113</TotalTime>
  <ScaleCrop>false</ScaleCrop>
  <LinksUpToDate>false</LinksUpToDate>
  <CharactersWithSpaces>9262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2020-06-16T06:22:00Z</dcterms:created>
  <dc:creator>王智斌</dc:creator>
  <cp:lastModifiedBy>蔡岱蓉</cp:lastModifiedBy>
  <cp:lastPrinted>2020-06-22T01:12:00Z</cp:lastPrinted>
  <dcterms:modified xsi:type="dcterms:W3CDTF">2023-08-22T03:27:19Z</dcterms:modified>
  <dc:title>中国人民银行广州分行行政许可事项服务指南                          编号：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14506C5A40DC41F1AE16EB51424EBA40_13</vt:lpwstr>
  </property>
</Properties>
</file>